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F6137" w14:textId="77777777" w:rsidR="002A0043" w:rsidRDefault="002A0043">
      <w:pPr>
        <w:jc w:val="center"/>
        <w:rPr>
          <w:b/>
          <w:bCs/>
        </w:rPr>
      </w:pPr>
    </w:p>
    <w:p w14:paraId="7911551E" w14:textId="77777777" w:rsidR="002A0043" w:rsidRPr="00F43742" w:rsidRDefault="002A0043">
      <w:pPr>
        <w:pStyle w:val="Heading1"/>
        <w:rPr>
          <w:caps/>
          <w:sz w:val="28"/>
          <w:szCs w:val="28"/>
        </w:rPr>
      </w:pPr>
      <w:r w:rsidRPr="00F43742">
        <w:rPr>
          <w:caps/>
          <w:sz w:val="28"/>
          <w:szCs w:val="28"/>
        </w:rPr>
        <w:t>Hosting Proforma</w:t>
      </w:r>
    </w:p>
    <w:p w14:paraId="28FB4D72" w14:textId="77777777" w:rsidR="002A0043" w:rsidRDefault="00BA0279">
      <w:r>
        <w:rPr>
          <w:noProof/>
          <w:sz w:val="20"/>
          <w:lang w:val="en-US"/>
        </w:rPr>
        <w:pict w14:anchorId="13271049">
          <v:shapetype id="_x0000_t202" coordsize="21600,21600" o:spt="202" path="m,l,21600r21600,l21600,xe">
            <v:stroke joinstyle="miter"/>
            <v:path gradientshapeok="t" o:connecttype="rect"/>
          </v:shapetype>
          <v:shape id="_x0000_s1026" type="#_x0000_t202" style="position:absolute;margin-left:90pt;margin-top:11.8pt;width:324pt;height:27pt;z-index:251654144">
            <v:textbox>
              <w:txbxContent>
                <w:p w14:paraId="3361330B" w14:textId="33F820DA" w:rsidR="002A0043" w:rsidRDefault="00380B2C">
                  <w:r>
                    <w:t>Organised Crime Branch, POCD, Department of Justice</w:t>
                  </w:r>
                </w:p>
                <w:p w14:paraId="32F00963" w14:textId="77777777" w:rsidR="002A0043" w:rsidRDefault="002A0043">
                  <w:pPr>
                    <w:pStyle w:val="OmniPage1"/>
                    <w:spacing w:line="240" w:lineRule="auto"/>
                    <w:rPr>
                      <w:rFonts w:ascii="Arial" w:hAnsi="Arial" w:cs="Arial"/>
                      <w:sz w:val="24"/>
                      <w:szCs w:val="24"/>
                      <w:lang w:val="en-GB"/>
                    </w:rPr>
                  </w:pPr>
                </w:p>
                <w:p w14:paraId="3DA4D885" w14:textId="77777777" w:rsidR="002A0043" w:rsidRDefault="002A0043"/>
                <w:p w14:paraId="78133553" w14:textId="77777777" w:rsidR="002A0043" w:rsidRDefault="002A0043"/>
                <w:p w14:paraId="13F1B2EE" w14:textId="77777777" w:rsidR="002A0043" w:rsidRDefault="002A0043"/>
                <w:p w14:paraId="3A6A1F04" w14:textId="77777777" w:rsidR="002A0043" w:rsidRDefault="002A0043"/>
                <w:p w14:paraId="1434AC08" w14:textId="77777777" w:rsidR="002A0043" w:rsidRDefault="002A0043"/>
              </w:txbxContent>
            </v:textbox>
          </v:shape>
        </w:pict>
      </w:r>
    </w:p>
    <w:p w14:paraId="4BD6D778" w14:textId="77777777" w:rsidR="002A0043" w:rsidRPr="00A24499" w:rsidRDefault="002A0043">
      <w:pPr>
        <w:rPr>
          <w:sz w:val="22"/>
          <w:szCs w:val="22"/>
        </w:rPr>
      </w:pPr>
      <w:r>
        <w:t xml:space="preserve">    </w:t>
      </w:r>
      <w:r w:rsidRPr="00A24499">
        <w:rPr>
          <w:sz w:val="22"/>
          <w:szCs w:val="22"/>
        </w:rPr>
        <w:t xml:space="preserve">Name of Host  </w:t>
      </w:r>
    </w:p>
    <w:p w14:paraId="0C14F442" w14:textId="77777777" w:rsidR="002A0043" w:rsidRPr="00A24499" w:rsidRDefault="002A0043">
      <w:pPr>
        <w:rPr>
          <w:sz w:val="22"/>
          <w:szCs w:val="22"/>
        </w:rPr>
      </w:pPr>
      <w:r w:rsidRPr="00A24499">
        <w:rPr>
          <w:sz w:val="22"/>
          <w:szCs w:val="22"/>
        </w:rPr>
        <w:t xml:space="preserve">    Organisation</w:t>
      </w:r>
    </w:p>
    <w:p w14:paraId="1AEB3D67" w14:textId="77777777" w:rsidR="002A0043" w:rsidRPr="00A24499" w:rsidRDefault="002A0043">
      <w:pPr>
        <w:rPr>
          <w:sz w:val="22"/>
          <w:szCs w:val="22"/>
        </w:rPr>
      </w:pPr>
    </w:p>
    <w:p w14:paraId="4D9F5F73" w14:textId="77777777" w:rsidR="002A0043" w:rsidRPr="00A24499" w:rsidRDefault="002A0043">
      <w:pPr>
        <w:rPr>
          <w:b/>
          <w:bCs/>
          <w:sz w:val="22"/>
          <w:szCs w:val="22"/>
        </w:rPr>
      </w:pPr>
      <w:r w:rsidRPr="00A24499">
        <w:rPr>
          <w:b/>
          <w:bCs/>
          <w:sz w:val="22"/>
          <w:szCs w:val="22"/>
        </w:rPr>
        <w:t>1.  Interchange Manager’s details</w:t>
      </w:r>
    </w:p>
    <w:p w14:paraId="761DA01B" w14:textId="77777777" w:rsidR="002A0043" w:rsidRPr="00A24499" w:rsidRDefault="00BA0279">
      <w:pPr>
        <w:rPr>
          <w:b/>
          <w:bCs/>
          <w:sz w:val="22"/>
          <w:szCs w:val="22"/>
        </w:rPr>
      </w:pPr>
      <w:r>
        <w:rPr>
          <w:b/>
          <w:bCs/>
          <w:noProof/>
          <w:sz w:val="22"/>
          <w:szCs w:val="22"/>
          <w:lang w:val="en-US"/>
        </w:rPr>
        <w:pict w14:anchorId="5CA889DF">
          <v:shape id="_x0000_s1027" type="#_x0000_t202" style="position:absolute;margin-left:90pt;margin-top:5.8pt;width:4in;height:27pt;z-index:251655168">
            <v:textbox>
              <w:txbxContent>
                <w:p w14:paraId="131361BE" w14:textId="339C6B33" w:rsidR="002A0043" w:rsidRPr="00380B2C" w:rsidRDefault="00380B2C">
                  <w:pPr>
                    <w:rPr>
                      <w:lang w:val="en-US"/>
                    </w:rPr>
                  </w:pPr>
                  <w:r>
                    <w:rPr>
                      <w:lang w:val="en-US"/>
                    </w:rPr>
                    <w:t>Debbie Corry</w:t>
                  </w:r>
                  <w:r>
                    <w:rPr>
                      <w:lang w:val="en-US"/>
                    </w:rPr>
                    <w:tab/>
                  </w:r>
                </w:p>
              </w:txbxContent>
            </v:textbox>
          </v:shape>
        </w:pict>
      </w:r>
    </w:p>
    <w:p w14:paraId="69942A23" w14:textId="77777777" w:rsidR="002A0043" w:rsidRPr="00A24499" w:rsidRDefault="002A0043">
      <w:pPr>
        <w:rPr>
          <w:sz w:val="22"/>
          <w:szCs w:val="22"/>
        </w:rPr>
      </w:pPr>
      <w:r w:rsidRPr="00A24499">
        <w:rPr>
          <w:sz w:val="22"/>
          <w:szCs w:val="22"/>
        </w:rPr>
        <w:t xml:space="preserve">             Name</w:t>
      </w:r>
    </w:p>
    <w:p w14:paraId="74216424" w14:textId="77777777" w:rsidR="002A0043" w:rsidRPr="00A24499" w:rsidRDefault="002A0043">
      <w:pPr>
        <w:rPr>
          <w:sz w:val="22"/>
          <w:szCs w:val="22"/>
        </w:rPr>
      </w:pPr>
    </w:p>
    <w:p w14:paraId="400BBAB4" w14:textId="77777777" w:rsidR="002A0043" w:rsidRPr="00A24499" w:rsidRDefault="00BA0279">
      <w:pPr>
        <w:rPr>
          <w:sz w:val="22"/>
          <w:szCs w:val="22"/>
        </w:rPr>
      </w:pPr>
      <w:r>
        <w:rPr>
          <w:noProof/>
          <w:sz w:val="22"/>
          <w:szCs w:val="22"/>
          <w:lang w:val="en-US"/>
        </w:rPr>
        <w:pict w14:anchorId="48BE298C">
          <v:shape id="_x0000_s1028" type="#_x0000_t202" style="position:absolute;margin-left:90pt;margin-top:.4pt;width:324pt;height:27pt;z-index:251656192">
            <v:textbox>
              <w:txbxContent>
                <w:p w14:paraId="3F820D60" w14:textId="17D2B797" w:rsidR="002A0043" w:rsidRPr="00380B2C" w:rsidRDefault="00380B2C">
                  <w:pPr>
                    <w:rPr>
                      <w:lang w:val="en-US"/>
                    </w:rPr>
                  </w:pPr>
                  <w:proofErr w:type="spellStart"/>
                  <w:r>
                    <w:rPr>
                      <w:lang w:val="en-US"/>
                    </w:rPr>
                    <w:t>Organised</w:t>
                  </w:r>
                  <w:proofErr w:type="spellEnd"/>
                  <w:r>
                    <w:rPr>
                      <w:lang w:val="en-US"/>
                    </w:rPr>
                    <w:t xml:space="preserve"> Crime Branch, </w:t>
                  </w:r>
                </w:p>
              </w:txbxContent>
            </v:textbox>
          </v:shape>
        </w:pict>
      </w:r>
      <w:r w:rsidR="002A0043" w:rsidRPr="00A24499">
        <w:rPr>
          <w:sz w:val="22"/>
          <w:szCs w:val="22"/>
        </w:rPr>
        <w:t xml:space="preserve">     Organisation/</w:t>
      </w:r>
    </w:p>
    <w:p w14:paraId="1D066E86" w14:textId="77777777" w:rsidR="002A0043" w:rsidRPr="00A24499" w:rsidRDefault="002A0043">
      <w:pPr>
        <w:rPr>
          <w:sz w:val="22"/>
          <w:szCs w:val="22"/>
        </w:rPr>
      </w:pPr>
      <w:r w:rsidRPr="00A24499">
        <w:rPr>
          <w:sz w:val="22"/>
          <w:szCs w:val="22"/>
        </w:rPr>
        <w:t xml:space="preserve">        Department</w:t>
      </w:r>
    </w:p>
    <w:p w14:paraId="1ACACA12" w14:textId="77777777" w:rsidR="002A0043" w:rsidRPr="00A24499" w:rsidRDefault="00BA0279">
      <w:pPr>
        <w:rPr>
          <w:sz w:val="22"/>
          <w:szCs w:val="22"/>
        </w:rPr>
      </w:pPr>
      <w:r>
        <w:rPr>
          <w:noProof/>
          <w:sz w:val="22"/>
          <w:szCs w:val="22"/>
          <w:lang w:val="en-US"/>
        </w:rPr>
        <w:pict w14:anchorId="424CAB2A">
          <v:shape id="_x0000_s1029" type="#_x0000_t202" style="position:absolute;margin-left:90pt;margin-top:8.8pt;width:324pt;height:1in;z-index:251657216">
            <v:textbox>
              <w:txbxContent>
                <w:p w14:paraId="05CBFFD0" w14:textId="77777777" w:rsidR="007F27EB" w:rsidRPr="007F27EB" w:rsidRDefault="007F27EB" w:rsidP="007F27EB">
                  <w:pPr>
                    <w:rPr>
                      <w:rFonts w:eastAsia="Calibri"/>
                      <w:noProof/>
                      <w:color w:val="000000"/>
                    </w:rPr>
                  </w:pPr>
                  <w:r w:rsidRPr="007F27EB">
                    <w:rPr>
                      <w:rFonts w:eastAsia="Calibri"/>
                      <w:noProof/>
                      <w:color w:val="000000"/>
                    </w:rPr>
                    <w:t>Knockview Buildings</w:t>
                  </w:r>
                </w:p>
                <w:p w14:paraId="7E218E79" w14:textId="77777777" w:rsidR="007F27EB" w:rsidRPr="007F27EB" w:rsidRDefault="007F27EB" w:rsidP="007F27EB">
                  <w:pPr>
                    <w:rPr>
                      <w:rFonts w:eastAsia="Calibri"/>
                      <w:noProof/>
                      <w:color w:val="000000"/>
                    </w:rPr>
                  </w:pPr>
                  <w:r w:rsidRPr="007F27EB">
                    <w:rPr>
                      <w:rFonts w:eastAsia="Calibri"/>
                      <w:noProof/>
                      <w:color w:val="000000"/>
                    </w:rPr>
                    <w:t>Stormont Estate</w:t>
                  </w:r>
                </w:p>
                <w:p w14:paraId="6863B5D6" w14:textId="77777777" w:rsidR="007F27EB" w:rsidRPr="007F27EB" w:rsidRDefault="007F27EB" w:rsidP="007F27EB">
                  <w:pPr>
                    <w:rPr>
                      <w:rFonts w:eastAsia="Calibri"/>
                      <w:noProof/>
                      <w:color w:val="000000"/>
                    </w:rPr>
                  </w:pPr>
                  <w:r w:rsidRPr="007F27EB">
                    <w:rPr>
                      <w:rFonts w:eastAsia="Calibri"/>
                      <w:noProof/>
                      <w:color w:val="000000"/>
                    </w:rPr>
                    <w:t>BELFAST</w:t>
                  </w:r>
                </w:p>
                <w:p w14:paraId="13F1F06A" w14:textId="5443B293" w:rsidR="002A0043" w:rsidRPr="007F27EB" w:rsidRDefault="007F27EB" w:rsidP="007F27EB">
                  <w:pPr>
                    <w:rPr>
                      <w:sz w:val="22"/>
                    </w:rPr>
                  </w:pPr>
                  <w:r w:rsidRPr="007F27EB">
                    <w:rPr>
                      <w:rFonts w:eastAsia="Calibri"/>
                      <w:noProof/>
                      <w:color w:val="000000"/>
                    </w:rPr>
                    <w:t>BT4 3SJ</w:t>
                  </w:r>
                </w:p>
                <w:p w14:paraId="43A0BC18" w14:textId="77777777" w:rsidR="002A0043" w:rsidRPr="007F27EB" w:rsidRDefault="002A0043"/>
              </w:txbxContent>
            </v:textbox>
          </v:shape>
        </w:pict>
      </w:r>
    </w:p>
    <w:p w14:paraId="70B6E1A3" w14:textId="77777777" w:rsidR="002A0043" w:rsidRPr="00A24499" w:rsidRDefault="002A0043">
      <w:pPr>
        <w:rPr>
          <w:sz w:val="22"/>
          <w:szCs w:val="22"/>
        </w:rPr>
      </w:pPr>
      <w:r w:rsidRPr="00A24499">
        <w:rPr>
          <w:sz w:val="22"/>
          <w:szCs w:val="22"/>
        </w:rPr>
        <w:t xml:space="preserve">              Address</w:t>
      </w:r>
    </w:p>
    <w:p w14:paraId="32FB26E6" w14:textId="77777777" w:rsidR="002A0043" w:rsidRPr="00A24499" w:rsidRDefault="002A0043">
      <w:pPr>
        <w:rPr>
          <w:sz w:val="22"/>
          <w:szCs w:val="22"/>
        </w:rPr>
      </w:pPr>
      <w:r w:rsidRPr="00A24499">
        <w:rPr>
          <w:sz w:val="22"/>
          <w:szCs w:val="22"/>
        </w:rPr>
        <w:t xml:space="preserve">       </w:t>
      </w:r>
    </w:p>
    <w:p w14:paraId="6810029E" w14:textId="77777777" w:rsidR="002A0043" w:rsidRPr="00A24499" w:rsidRDefault="002A0043">
      <w:pPr>
        <w:rPr>
          <w:sz w:val="22"/>
          <w:szCs w:val="22"/>
        </w:rPr>
      </w:pPr>
    </w:p>
    <w:p w14:paraId="49416906" w14:textId="77777777" w:rsidR="002A0043" w:rsidRPr="00A24499" w:rsidRDefault="002A0043">
      <w:pPr>
        <w:rPr>
          <w:sz w:val="22"/>
          <w:szCs w:val="22"/>
        </w:rPr>
      </w:pPr>
    </w:p>
    <w:p w14:paraId="6D66EE28" w14:textId="77777777" w:rsidR="002A0043" w:rsidRPr="00A24499" w:rsidRDefault="002A0043">
      <w:pPr>
        <w:rPr>
          <w:sz w:val="22"/>
          <w:szCs w:val="22"/>
        </w:rPr>
      </w:pPr>
    </w:p>
    <w:p w14:paraId="20CB72B6" w14:textId="77777777" w:rsidR="002A0043" w:rsidRPr="00A24499" w:rsidRDefault="002A0043">
      <w:pPr>
        <w:rPr>
          <w:sz w:val="22"/>
          <w:szCs w:val="22"/>
        </w:rPr>
      </w:pPr>
    </w:p>
    <w:p w14:paraId="37FC8576" w14:textId="77777777" w:rsidR="002A0043" w:rsidRPr="00A24499" w:rsidRDefault="00BA0279">
      <w:pPr>
        <w:rPr>
          <w:sz w:val="22"/>
          <w:szCs w:val="22"/>
        </w:rPr>
      </w:pPr>
      <w:r>
        <w:rPr>
          <w:noProof/>
          <w:sz w:val="22"/>
          <w:szCs w:val="22"/>
          <w:lang w:val="en-US"/>
        </w:rPr>
        <w:pict w14:anchorId="124F32CB">
          <v:shape id="_x0000_s1031" type="#_x0000_t202" style="position:absolute;margin-left:279pt;margin-top:2.25pt;width:135pt;height:18pt;z-index:251659264">
            <v:textbox>
              <w:txbxContent>
                <w:p w14:paraId="67F0722A" w14:textId="77777777" w:rsidR="002A0043" w:rsidRDefault="002A0043"/>
              </w:txbxContent>
            </v:textbox>
          </v:shape>
        </w:pict>
      </w:r>
      <w:r>
        <w:rPr>
          <w:noProof/>
          <w:sz w:val="22"/>
          <w:szCs w:val="22"/>
          <w:lang w:val="en-US"/>
        </w:rPr>
        <w:pict w14:anchorId="035C42A2">
          <v:shape id="_x0000_s1030" type="#_x0000_t202" style="position:absolute;margin-left:90pt;margin-top:2.25pt;width:126pt;height:18pt;z-index:251658240">
            <v:textbox>
              <w:txbxContent>
                <w:p w14:paraId="4325CFA7" w14:textId="6DD66508" w:rsidR="002A0043" w:rsidRPr="00607504" w:rsidRDefault="00607504">
                  <w:pPr>
                    <w:rPr>
                      <w:lang w:val="en-US"/>
                    </w:rPr>
                  </w:pPr>
                  <w:r>
                    <w:rPr>
                      <w:lang w:val="en-US"/>
                    </w:rPr>
                    <w:t>-</w:t>
                  </w:r>
                </w:p>
              </w:txbxContent>
            </v:textbox>
          </v:shape>
        </w:pict>
      </w:r>
      <w:r w:rsidR="002A0043" w:rsidRPr="00A24499">
        <w:rPr>
          <w:sz w:val="22"/>
          <w:szCs w:val="22"/>
        </w:rPr>
        <w:t xml:space="preserve">         Telephone                                               Fax number</w:t>
      </w:r>
    </w:p>
    <w:p w14:paraId="6D98D56F" w14:textId="77777777" w:rsidR="002A0043" w:rsidRPr="00A24499" w:rsidRDefault="002A0043">
      <w:pPr>
        <w:rPr>
          <w:sz w:val="22"/>
          <w:szCs w:val="22"/>
        </w:rPr>
      </w:pPr>
      <w:r w:rsidRPr="00A24499">
        <w:rPr>
          <w:sz w:val="22"/>
          <w:szCs w:val="22"/>
        </w:rPr>
        <w:t xml:space="preserve">             Number</w:t>
      </w:r>
    </w:p>
    <w:p w14:paraId="1B40EDCD" w14:textId="77777777" w:rsidR="002A0043" w:rsidRPr="00A24499" w:rsidRDefault="00BA0279">
      <w:pPr>
        <w:rPr>
          <w:sz w:val="22"/>
          <w:szCs w:val="22"/>
        </w:rPr>
      </w:pPr>
      <w:r>
        <w:rPr>
          <w:noProof/>
          <w:sz w:val="22"/>
          <w:szCs w:val="22"/>
          <w:lang w:val="en-US"/>
        </w:rPr>
        <w:pict w14:anchorId="0574ECC3">
          <v:shape id="_x0000_s1032" type="#_x0000_t202" style="position:absolute;margin-left:90pt;margin-top:10.65pt;width:234pt;height:36pt;z-index:251660288">
            <v:textbox>
              <w:txbxContent>
                <w:p w14:paraId="2929C4F9" w14:textId="01315B54" w:rsidR="002A0043" w:rsidRPr="00A24499" w:rsidRDefault="00607504">
                  <w:hyperlink r:id="rId8" w:history="1">
                    <w:r w:rsidRPr="00120729">
                      <w:rPr>
                        <w:rStyle w:val="Hyperlink"/>
                      </w:rPr>
                      <w:t>Debbie.Corry@justice-ni.gov.uk</w:t>
                    </w:r>
                  </w:hyperlink>
                  <w:r>
                    <w:t xml:space="preserve">; or </w:t>
                  </w:r>
                  <w:hyperlink r:id="rId9" w:history="1">
                    <w:r w:rsidRPr="00120729">
                      <w:rPr>
                        <w:rStyle w:val="Hyperlink"/>
                      </w:rPr>
                      <w:t>Matthew.Bunting@justice-ni.gov.uk</w:t>
                    </w:r>
                  </w:hyperlink>
                  <w:r>
                    <w:t xml:space="preserve"> </w:t>
                  </w:r>
                </w:p>
                <w:p w14:paraId="42763E60" w14:textId="77777777" w:rsidR="002A0043" w:rsidRDefault="002A0043"/>
              </w:txbxContent>
            </v:textbox>
          </v:shape>
        </w:pict>
      </w:r>
      <w:r w:rsidR="002A0043" w:rsidRPr="00A24499">
        <w:rPr>
          <w:sz w:val="22"/>
          <w:szCs w:val="22"/>
        </w:rPr>
        <w:t xml:space="preserve">               </w:t>
      </w:r>
    </w:p>
    <w:p w14:paraId="24EF894C" w14:textId="77777777" w:rsidR="002A0043" w:rsidRPr="00A24499" w:rsidRDefault="002A0043">
      <w:pPr>
        <w:rPr>
          <w:sz w:val="22"/>
          <w:szCs w:val="22"/>
        </w:rPr>
      </w:pPr>
      <w:r w:rsidRPr="00A24499">
        <w:rPr>
          <w:sz w:val="22"/>
          <w:szCs w:val="22"/>
        </w:rPr>
        <w:t xml:space="preserve">               E-mail</w:t>
      </w:r>
    </w:p>
    <w:p w14:paraId="1472E874" w14:textId="77777777" w:rsidR="002A0043" w:rsidRPr="00A24499" w:rsidRDefault="002A0043">
      <w:pPr>
        <w:rPr>
          <w:sz w:val="22"/>
          <w:szCs w:val="22"/>
        </w:rPr>
      </w:pPr>
    </w:p>
    <w:p w14:paraId="174C5454" w14:textId="77777777" w:rsidR="002A0043" w:rsidRPr="00A24499" w:rsidRDefault="002A0043">
      <w:pPr>
        <w:rPr>
          <w:sz w:val="22"/>
          <w:szCs w:val="22"/>
        </w:rPr>
      </w:pPr>
    </w:p>
    <w:p w14:paraId="664BD81B" w14:textId="77777777" w:rsidR="002A0043" w:rsidRPr="00A24499" w:rsidRDefault="00BA0279">
      <w:pPr>
        <w:rPr>
          <w:sz w:val="22"/>
          <w:szCs w:val="22"/>
        </w:rPr>
      </w:pPr>
      <w:r>
        <w:rPr>
          <w:noProof/>
          <w:sz w:val="22"/>
          <w:szCs w:val="22"/>
          <w:lang w:val="en-US"/>
        </w:rPr>
        <w:pict w14:anchorId="71ABB93F">
          <v:shape id="_x0000_s1042" type="#_x0000_t202" style="position:absolute;margin-left:117pt;margin-top:.45pt;width:270pt;height:59.25pt;z-index:251661312">
            <v:textbox>
              <w:txbxContent>
                <w:p w14:paraId="23BE8D83" w14:textId="2385852F" w:rsidR="007F27EB" w:rsidRPr="00A24499" w:rsidRDefault="007F27EB" w:rsidP="007F27EB">
                  <w:r w:rsidRPr="00A24499">
                    <w:t xml:space="preserve">Secondment – 1 year with the possibility of an extension of up to 2 </w:t>
                  </w:r>
                  <w:r w:rsidR="007B22FB">
                    <w:t xml:space="preserve">further </w:t>
                  </w:r>
                  <w:r w:rsidRPr="00A24499">
                    <w:t xml:space="preserve">years, subject to the agreement of all relevant parties. </w:t>
                  </w:r>
                </w:p>
                <w:p w14:paraId="6047AB70" w14:textId="77777777" w:rsidR="007F27EB" w:rsidRPr="007F27EB" w:rsidRDefault="007F27EB" w:rsidP="007F27EB">
                  <w:pPr>
                    <w:rPr>
                      <w:rFonts w:ascii="Aptos" w:hAnsi="Aptos" w:cs="Aptos"/>
                      <w:i/>
                    </w:rPr>
                  </w:pPr>
                </w:p>
                <w:p w14:paraId="3888C127" w14:textId="77777777" w:rsidR="007F27EB" w:rsidRPr="007F27EB" w:rsidRDefault="007F27EB" w:rsidP="007F27EB">
                  <w:pPr>
                    <w:rPr>
                      <w:rFonts w:ascii="Aptos" w:hAnsi="Aptos" w:cs="Aptos"/>
                    </w:rPr>
                  </w:pPr>
                  <w:r w:rsidRPr="007F27EB">
                    <w:rPr>
                      <w:rFonts w:ascii="Aptos" w:hAnsi="Aptos" w:cs="Aptos"/>
                    </w:rPr>
                    <w:t xml:space="preserve">DP Policy and Research Officer post in the recently established Office of the Commissioner for Victims of Crime.  This is a </w:t>
                  </w:r>
                  <w:proofErr w:type="gramStart"/>
                  <w:r w:rsidRPr="007F27EB">
                    <w:rPr>
                      <w:rFonts w:ascii="Aptos" w:hAnsi="Aptos" w:cs="Aptos"/>
                    </w:rPr>
                    <w:t>full time</w:t>
                  </w:r>
                  <w:proofErr w:type="gramEnd"/>
                  <w:r w:rsidRPr="007F27EB">
                    <w:rPr>
                      <w:rFonts w:ascii="Aptos" w:hAnsi="Aptos" w:cs="Aptos"/>
                    </w:rPr>
                    <w:t xml:space="preserve"> post.</w:t>
                  </w:r>
                </w:p>
                <w:p w14:paraId="3DEA7D20" w14:textId="77777777" w:rsidR="002A0043" w:rsidRDefault="002A0043"/>
              </w:txbxContent>
            </v:textbox>
          </v:shape>
        </w:pict>
      </w:r>
      <w:r w:rsidR="002A0043" w:rsidRPr="00A24499">
        <w:rPr>
          <w:sz w:val="22"/>
          <w:szCs w:val="22"/>
        </w:rPr>
        <w:t>Type of Opportunity</w:t>
      </w:r>
    </w:p>
    <w:p w14:paraId="06AE697D" w14:textId="77777777" w:rsidR="002A0043" w:rsidRPr="00A24499" w:rsidRDefault="002A0043">
      <w:pPr>
        <w:rPr>
          <w:sz w:val="22"/>
          <w:szCs w:val="22"/>
        </w:rPr>
      </w:pPr>
    </w:p>
    <w:p w14:paraId="0DAB588F" w14:textId="77777777" w:rsidR="007F27EB" w:rsidRPr="00A24499" w:rsidRDefault="007F27EB">
      <w:pPr>
        <w:rPr>
          <w:sz w:val="22"/>
          <w:szCs w:val="22"/>
        </w:rPr>
      </w:pPr>
    </w:p>
    <w:p w14:paraId="6CD1E648" w14:textId="77777777" w:rsidR="007F27EB" w:rsidRPr="00A24499" w:rsidRDefault="007F27EB"/>
    <w:p w14:paraId="6C11A68A" w14:textId="77777777" w:rsidR="002A0043" w:rsidRPr="00A24499" w:rsidRDefault="002A0043">
      <w:pPr>
        <w:rPr>
          <w:b/>
          <w:bCs/>
        </w:rPr>
      </w:pPr>
    </w:p>
    <w:p w14:paraId="7C2EFCEE" w14:textId="77777777" w:rsidR="002A0043" w:rsidRPr="00A24499" w:rsidRDefault="002A0043">
      <w:pPr>
        <w:rPr>
          <w:b/>
          <w:bCs/>
        </w:rPr>
      </w:pPr>
      <w:r w:rsidRPr="00A24499">
        <w:rPr>
          <w:b/>
          <w:bCs/>
        </w:rPr>
        <w:t>2.  Details of hosting opportunity</w:t>
      </w:r>
    </w:p>
    <w:p w14:paraId="31AA3FF5" w14:textId="77777777" w:rsidR="002A0043" w:rsidRPr="00A24499" w:rsidRDefault="002A0043">
      <w:pPr>
        <w:rPr>
          <w:b/>
          <w:bCs/>
        </w:rPr>
      </w:pPr>
    </w:p>
    <w:p w14:paraId="6B645977" w14:textId="77777777" w:rsidR="002A0043" w:rsidRPr="00A24499" w:rsidRDefault="002A0043">
      <w:r w:rsidRPr="00A24499">
        <w:t xml:space="preserve">      Description of opportunity</w:t>
      </w:r>
    </w:p>
    <w:p w14:paraId="03C924AB" w14:textId="77777777" w:rsidR="006D7267" w:rsidRPr="00A24499" w:rsidRDefault="006D726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6D7267" w:rsidRPr="00A24499" w14:paraId="7BC3B72F" w14:textId="77777777" w:rsidTr="00A24499">
        <w:trPr>
          <w:trHeight w:val="1833"/>
        </w:trPr>
        <w:tc>
          <w:tcPr>
            <w:tcW w:w="8522" w:type="dxa"/>
          </w:tcPr>
          <w:p w14:paraId="2BCCA1EF" w14:textId="606C8736" w:rsidR="007F27EB" w:rsidRPr="00A24499" w:rsidRDefault="007F27EB" w:rsidP="007F27EB">
            <w:pPr>
              <w:rPr>
                <w:sz w:val="22"/>
                <w:szCs w:val="22"/>
              </w:rPr>
            </w:pPr>
            <w:r w:rsidRPr="00A24499">
              <w:rPr>
                <w:sz w:val="22"/>
                <w:szCs w:val="22"/>
              </w:rPr>
              <w:t xml:space="preserve">This is an exciting </w:t>
            </w:r>
            <w:r w:rsidR="007B22FB">
              <w:rPr>
                <w:sz w:val="22"/>
                <w:szCs w:val="22"/>
              </w:rPr>
              <w:t xml:space="preserve">new </w:t>
            </w:r>
            <w:r w:rsidRPr="00A24499">
              <w:rPr>
                <w:sz w:val="22"/>
                <w:szCs w:val="22"/>
              </w:rPr>
              <w:t xml:space="preserve">opportunity within the Department of Justice </w:t>
            </w:r>
            <w:r w:rsidR="007B22FB">
              <w:rPr>
                <w:sz w:val="22"/>
                <w:szCs w:val="22"/>
              </w:rPr>
              <w:t xml:space="preserve">for an </w:t>
            </w:r>
            <w:r w:rsidR="007B22FB" w:rsidRPr="006E5D81">
              <w:rPr>
                <w:b/>
                <w:bCs/>
                <w:sz w:val="22"/>
                <w:szCs w:val="22"/>
              </w:rPr>
              <w:t>Organised Crime Task Force (OCTF) Analyst</w:t>
            </w:r>
            <w:r w:rsidR="007B22FB">
              <w:rPr>
                <w:sz w:val="22"/>
                <w:szCs w:val="22"/>
              </w:rPr>
              <w:t>.  The role will</w:t>
            </w:r>
            <w:r w:rsidRPr="00A24499">
              <w:rPr>
                <w:sz w:val="22"/>
                <w:szCs w:val="22"/>
              </w:rPr>
              <w:t xml:space="preserve"> require collaborative, partnership-based working with a range of OCTF law enforcement agencies, partner organisations, and wider stakeholders.  It will </w:t>
            </w:r>
            <w:r w:rsidR="007B22FB">
              <w:rPr>
                <w:sz w:val="22"/>
                <w:szCs w:val="22"/>
              </w:rPr>
              <w:t xml:space="preserve">support </w:t>
            </w:r>
            <w:r w:rsidRPr="00A24499">
              <w:rPr>
                <w:sz w:val="22"/>
                <w:szCs w:val="22"/>
              </w:rPr>
              <w:t xml:space="preserve">the Department’s work to develop and implement a new strategic approach to tackle organised crime.  </w:t>
            </w:r>
          </w:p>
          <w:p w14:paraId="50594458" w14:textId="77777777" w:rsidR="007F27EB" w:rsidRPr="00A24499" w:rsidRDefault="007F27EB" w:rsidP="007F27EB">
            <w:pPr>
              <w:rPr>
                <w:sz w:val="22"/>
                <w:szCs w:val="22"/>
              </w:rPr>
            </w:pPr>
          </w:p>
          <w:p w14:paraId="646D0605" w14:textId="689E7801" w:rsidR="007F27EB" w:rsidRDefault="007F27EB" w:rsidP="007F27EB">
            <w:pPr>
              <w:rPr>
                <w:sz w:val="22"/>
                <w:szCs w:val="22"/>
              </w:rPr>
            </w:pPr>
            <w:r w:rsidRPr="00A24499">
              <w:rPr>
                <w:sz w:val="22"/>
                <w:szCs w:val="22"/>
              </w:rPr>
              <w:t xml:space="preserve">A central aspect of the role is the provision of </w:t>
            </w:r>
            <w:r w:rsidR="007B22FB" w:rsidRPr="00A24499">
              <w:rPr>
                <w:sz w:val="22"/>
                <w:szCs w:val="22"/>
              </w:rPr>
              <w:t>high-quality</w:t>
            </w:r>
            <w:r w:rsidRPr="00A24499">
              <w:rPr>
                <w:sz w:val="22"/>
                <w:szCs w:val="22"/>
              </w:rPr>
              <w:t xml:space="preserve"> analytical support to enhance OCTF’s understanding of the changing nature and scale of organised crime in Northern Ireland.  The post holder will provide </w:t>
            </w:r>
            <w:r w:rsidR="007B22FB" w:rsidRPr="00A24499">
              <w:rPr>
                <w:sz w:val="22"/>
                <w:szCs w:val="22"/>
              </w:rPr>
              <w:t>evidence-based</w:t>
            </w:r>
            <w:r w:rsidRPr="00A24499">
              <w:rPr>
                <w:sz w:val="22"/>
                <w:szCs w:val="22"/>
              </w:rPr>
              <w:t xml:space="preserve"> insights and analysis through drafting regular threat assessments based on input from operational partners and relevant horizon scanning.  This will be instrumental in supporting policy development and strategic planning within the OCTF and the </w:t>
            </w:r>
            <w:r w:rsidR="00A24499">
              <w:rPr>
                <w:sz w:val="22"/>
                <w:szCs w:val="22"/>
              </w:rPr>
              <w:t>D</w:t>
            </w:r>
            <w:r w:rsidRPr="00A24499">
              <w:rPr>
                <w:sz w:val="22"/>
                <w:szCs w:val="22"/>
              </w:rPr>
              <w:t>epartment.</w:t>
            </w:r>
          </w:p>
          <w:p w14:paraId="5321EE94" w14:textId="77777777" w:rsidR="00A24499" w:rsidRPr="00A24499" w:rsidRDefault="00A24499" w:rsidP="007F27EB">
            <w:pPr>
              <w:rPr>
                <w:sz w:val="22"/>
                <w:szCs w:val="22"/>
              </w:rPr>
            </w:pPr>
          </w:p>
          <w:p w14:paraId="458CD07F" w14:textId="77777777" w:rsidR="007F27EB" w:rsidRDefault="007F27EB" w:rsidP="007F27EB">
            <w:pPr>
              <w:rPr>
                <w:sz w:val="22"/>
                <w:szCs w:val="22"/>
              </w:rPr>
            </w:pPr>
            <w:r w:rsidRPr="00A24499">
              <w:rPr>
                <w:sz w:val="22"/>
                <w:szCs w:val="22"/>
              </w:rPr>
              <w:t>The role will involve collecting, interpreting, and presenting data to inform justice related initiatives and improve service delivery. In addition, the post holder will collect, collate and analyse metrics and data under the Safer Communities Framework to support senior officials in understanding impact across key workstreams, and to inform the development of a violence and harm reduction approach across the Department. This will require both statistical analysis and analytical interpretation.</w:t>
            </w:r>
          </w:p>
          <w:p w14:paraId="2CDF9161" w14:textId="77777777" w:rsidR="00A24499" w:rsidRDefault="00A24499" w:rsidP="007F27EB">
            <w:pPr>
              <w:rPr>
                <w:sz w:val="22"/>
                <w:szCs w:val="22"/>
              </w:rPr>
            </w:pPr>
          </w:p>
          <w:p w14:paraId="7D25429E" w14:textId="77777777" w:rsidR="00A24499" w:rsidRPr="00A24499" w:rsidRDefault="00A24499" w:rsidP="007F27EB">
            <w:pPr>
              <w:rPr>
                <w:sz w:val="22"/>
                <w:szCs w:val="22"/>
              </w:rPr>
            </w:pPr>
          </w:p>
          <w:p w14:paraId="5690601A" w14:textId="09F9BBBC" w:rsidR="007F27EB" w:rsidRPr="00A24499" w:rsidRDefault="007F27EB" w:rsidP="007F27EB">
            <w:pPr>
              <w:rPr>
                <w:sz w:val="22"/>
                <w:szCs w:val="22"/>
              </w:rPr>
            </w:pPr>
            <w:r w:rsidRPr="00A24499">
              <w:rPr>
                <w:sz w:val="22"/>
                <w:szCs w:val="22"/>
              </w:rPr>
              <w:t xml:space="preserve">The post holder will be required to demonstrate adaptability and resilience in a </w:t>
            </w:r>
            <w:r w:rsidR="007B22FB" w:rsidRPr="00A24499">
              <w:rPr>
                <w:sz w:val="22"/>
                <w:szCs w:val="22"/>
              </w:rPr>
              <w:t>fast-paced</w:t>
            </w:r>
            <w:r w:rsidRPr="00A24499">
              <w:rPr>
                <w:sz w:val="22"/>
                <w:szCs w:val="22"/>
              </w:rPr>
              <w:t xml:space="preserve"> environment, with a proactive approach to problem solving. Strong time management skills and the ability to prioritise competing demands are essential, alongside a high level of attention to detail and accuracy. The role also requires the ability to work effectively both independently and collaboratively as part of a team.</w:t>
            </w:r>
          </w:p>
        </w:tc>
      </w:tr>
    </w:tbl>
    <w:p w14:paraId="1E577BF0" w14:textId="77777777" w:rsidR="002A0043" w:rsidRPr="00A24499" w:rsidRDefault="002A0043">
      <w:r w:rsidRPr="00A24499">
        <w:lastRenderedPageBreak/>
        <w:t xml:space="preserve">             </w:t>
      </w:r>
    </w:p>
    <w:p w14:paraId="66B63094" w14:textId="77777777" w:rsidR="002A0043" w:rsidRPr="00A24499" w:rsidRDefault="002A0043"/>
    <w:p w14:paraId="1DFE9426" w14:textId="77777777" w:rsidR="002A0043" w:rsidRPr="00A24499" w:rsidRDefault="002A0043">
      <w:r w:rsidRPr="00A24499">
        <w:t xml:space="preserve">      Main objectives of the opportunity</w:t>
      </w:r>
    </w:p>
    <w:p w14:paraId="4A86283B" w14:textId="77777777" w:rsidR="000B0FFD" w:rsidRPr="00A24499" w:rsidRDefault="000B0FFD" w:rsidP="007F27EB">
      <w:pPr>
        <w:spacing w:line="276" w:lineRule="auto"/>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4"/>
      </w:tblGrid>
      <w:tr w:rsidR="002D64EC" w:rsidRPr="00A24499" w14:paraId="47613154" w14:textId="77777777" w:rsidTr="00990432">
        <w:tc>
          <w:tcPr>
            <w:tcW w:w="7654" w:type="dxa"/>
          </w:tcPr>
          <w:p w14:paraId="059748A7" w14:textId="34FD0400" w:rsidR="007F27EB" w:rsidRPr="00A24499" w:rsidRDefault="007F27EB" w:rsidP="007F27EB">
            <w:pPr>
              <w:spacing w:line="276" w:lineRule="auto"/>
              <w:jc w:val="both"/>
            </w:pPr>
            <w:r w:rsidRPr="00A24499">
              <w:t xml:space="preserve">This is a new </w:t>
            </w:r>
            <w:r w:rsidR="007B22FB" w:rsidRPr="00A24499">
              <w:t>post,</w:t>
            </w:r>
            <w:r w:rsidRPr="00A24499">
              <w:t xml:space="preserve"> and duties are likely to evolve as the role matures. Initial duties will include:</w:t>
            </w:r>
          </w:p>
          <w:p w14:paraId="301ECD3D" w14:textId="77777777" w:rsidR="007F27EB" w:rsidRPr="00A24499" w:rsidRDefault="007F27EB" w:rsidP="007F27EB">
            <w:pPr>
              <w:spacing w:line="276" w:lineRule="auto"/>
              <w:jc w:val="both"/>
            </w:pPr>
          </w:p>
          <w:p w14:paraId="17CAD449" w14:textId="77777777" w:rsidR="007F27EB" w:rsidRPr="00A24499" w:rsidRDefault="007F27EB" w:rsidP="007F27EB">
            <w:pPr>
              <w:pStyle w:val="ListBullet"/>
              <w:tabs>
                <w:tab w:val="num" w:pos="360"/>
              </w:tabs>
              <w:ind w:left="360" w:hanging="360"/>
              <w:jc w:val="both"/>
              <w:rPr>
                <w:rFonts w:ascii="Times New Roman" w:hAnsi="Times New Roman"/>
              </w:rPr>
            </w:pPr>
            <w:r w:rsidRPr="00A24499">
              <w:rPr>
                <w:rFonts w:ascii="Times New Roman" w:hAnsi="Times New Roman"/>
              </w:rPr>
              <w:t>Producing strategic threat assessments and forward looks to inform the work of the OCTF Strategy Group and its Subgroups.</w:t>
            </w:r>
          </w:p>
          <w:p w14:paraId="5B3EAF0A" w14:textId="77777777" w:rsidR="007F27EB" w:rsidRPr="00A24499" w:rsidRDefault="007F27EB" w:rsidP="007F27EB">
            <w:pPr>
              <w:pStyle w:val="ListBullet"/>
              <w:tabs>
                <w:tab w:val="num" w:pos="360"/>
              </w:tabs>
              <w:ind w:left="360" w:hanging="360"/>
              <w:jc w:val="both"/>
              <w:rPr>
                <w:rFonts w:ascii="Times New Roman" w:hAnsi="Times New Roman"/>
              </w:rPr>
            </w:pPr>
            <w:r w:rsidRPr="00A24499">
              <w:rPr>
                <w:rFonts w:ascii="Times New Roman" w:hAnsi="Times New Roman"/>
              </w:rPr>
              <w:t>Providing analytical advice and recommendations on research priorities and problem profiles.</w:t>
            </w:r>
          </w:p>
          <w:p w14:paraId="0ECDE728" w14:textId="77777777" w:rsidR="007F27EB" w:rsidRPr="00A24499" w:rsidRDefault="007F27EB" w:rsidP="007F27EB">
            <w:pPr>
              <w:pStyle w:val="ListBullet"/>
              <w:tabs>
                <w:tab w:val="num" w:pos="360"/>
              </w:tabs>
              <w:ind w:left="360" w:hanging="360"/>
              <w:jc w:val="both"/>
              <w:rPr>
                <w:rFonts w:ascii="Times New Roman" w:hAnsi="Times New Roman"/>
              </w:rPr>
            </w:pPr>
            <w:r w:rsidRPr="00A24499">
              <w:rPr>
                <w:rFonts w:ascii="Times New Roman" w:hAnsi="Times New Roman"/>
              </w:rPr>
              <w:t>Supporting development of the OCTF Annual Report and Threat Assessment, including public-facing analytical products.</w:t>
            </w:r>
          </w:p>
          <w:p w14:paraId="0C2998D1" w14:textId="77777777" w:rsidR="007F27EB" w:rsidRPr="00A24499" w:rsidRDefault="007F27EB" w:rsidP="007F27EB">
            <w:pPr>
              <w:pStyle w:val="ListBullet"/>
              <w:tabs>
                <w:tab w:val="num" w:pos="360"/>
              </w:tabs>
              <w:ind w:left="360" w:hanging="360"/>
              <w:jc w:val="both"/>
              <w:rPr>
                <w:rFonts w:ascii="Times New Roman" w:hAnsi="Times New Roman"/>
              </w:rPr>
            </w:pPr>
            <w:r w:rsidRPr="00A24499">
              <w:rPr>
                <w:rFonts w:ascii="Times New Roman" w:hAnsi="Times New Roman"/>
              </w:rPr>
              <w:t>Delivering high-quality reports, insights, and briefings to senior management and, on occasion, the Minister, Justice Committee, and stakeholders.</w:t>
            </w:r>
          </w:p>
          <w:p w14:paraId="32D82EA4" w14:textId="77777777" w:rsidR="007F27EB" w:rsidRPr="00A24499" w:rsidRDefault="007F27EB" w:rsidP="007F27EB">
            <w:pPr>
              <w:pStyle w:val="ListBullet"/>
              <w:tabs>
                <w:tab w:val="num" w:pos="360"/>
              </w:tabs>
              <w:ind w:left="360" w:hanging="360"/>
              <w:jc w:val="both"/>
              <w:rPr>
                <w:rFonts w:ascii="Times New Roman" w:hAnsi="Times New Roman"/>
              </w:rPr>
            </w:pPr>
            <w:r w:rsidRPr="00A24499">
              <w:rPr>
                <w:rFonts w:ascii="Times New Roman" w:hAnsi="Times New Roman"/>
              </w:rPr>
              <w:t>Contributing to briefings and responses including Assembly Questions, correspondence, and Freedom of Information requests.</w:t>
            </w:r>
          </w:p>
          <w:p w14:paraId="2A822392" w14:textId="77777777" w:rsidR="007F27EB" w:rsidRPr="00A24499" w:rsidRDefault="007F27EB" w:rsidP="007F27EB">
            <w:pPr>
              <w:pStyle w:val="ListBullet"/>
              <w:tabs>
                <w:tab w:val="num" w:pos="360"/>
              </w:tabs>
              <w:ind w:left="360" w:hanging="360"/>
              <w:jc w:val="both"/>
              <w:rPr>
                <w:rFonts w:ascii="Times New Roman" w:hAnsi="Times New Roman"/>
              </w:rPr>
            </w:pPr>
            <w:r w:rsidRPr="00A24499">
              <w:rPr>
                <w:rFonts w:ascii="Times New Roman" w:hAnsi="Times New Roman"/>
              </w:rPr>
              <w:t xml:space="preserve">Reporting on delivery against </w:t>
            </w:r>
            <w:proofErr w:type="spellStart"/>
            <w:r w:rsidRPr="00A24499">
              <w:rPr>
                <w:rFonts w:ascii="Times New Roman" w:hAnsi="Times New Roman"/>
              </w:rPr>
              <w:t>Organised</w:t>
            </w:r>
            <w:proofErr w:type="spellEnd"/>
            <w:r w:rsidRPr="00A24499">
              <w:rPr>
                <w:rFonts w:ascii="Times New Roman" w:hAnsi="Times New Roman"/>
              </w:rPr>
              <w:t xml:space="preserve"> Crime strategic priorities, including measuring impact.</w:t>
            </w:r>
          </w:p>
          <w:p w14:paraId="5D9B5148" w14:textId="77777777" w:rsidR="007F27EB" w:rsidRPr="00A24499" w:rsidRDefault="007F27EB" w:rsidP="007F27EB">
            <w:pPr>
              <w:pStyle w:val="ListBullet"/>
              <w:tabs>
                <w:tab w:val="num" w:pos="360"/>
              </w:tabs>
              <w:ind w:left="360" w:hanging="360"/>
              <w:jc w:val="both"/>
              <w:rPr>
                <w:rFonts w:ascii="Times New Roman" w:hAnsi="Times New Roman"/>
              </w:rPr>
            </w:pPr>
            <w:r w:rsidRPr="00A24499">
              <w:rPr>
                <w:rFonts w:ascii="Times New Roman" w:hAnsi="Times New Roman"/>
              </w:rPr>
              <w:t>Providing evaluation and analytical support to the Safer Communities Shared Measurement Framework.</w:t>
            </w:r>
          </w:p>
          <w:p w14:paraId="2A8A2EAB" w14:textId="77777777" w:rsidR="007F27EB" w:rsidRPr="00A24499" w:rsidRDefault="007F27EB" w:rsidP="007F27EB">
            <w:pPr>
              <w:pStyle w:val="ListBullet"/>
              <w:tabs>
                <w:tab w:val="num" w:pos="360"/>
              </w:tabs>
              <w:ind w:left="360" w:hanging="360"/>
              <w:jc w:val="both"/>
              <w:rPr>
                <w:rFonts w:ascii="Times New Roman" w:hAnsi="Times New Roman"/>
              </w:rPr>
            </w:pPr>
            <w:r w:rsidRPr="00A24499">
              <w:rPr>
                <w:rFonts w:ascii="Times New Roman" w:hAnsi="Times New Roman"/>
              </w:rPr>
              <w:t>Supporting the Head of Branch.</w:t>
            </w:r>
          </w:p>
          <w:p w14:paraId="122D2519" w14:textId="77777777" w:rsidR="007F27EB" w:rsidRPr="00A24499" w:rsidRDefault="007F27EB" w:rsidP="007F27EB">
            <w:pPr>
              <w:spacing w:line="276" w:lineRule="auto"/>
              <w:jc w:val="both"/>
              <w:rPr>
                <w:u w:val="single"/>
              </w:rPr>
            </w:pPr>
            <w:r w:rsidRPr="00A24499">
              <w:rPr>
                <w:u w:val="single"/>
              </w:rPr>
              <w:t>Contacts and Communications</w:t>
            </w:r>
          </w:p>
          <w:p w14:paraId="17C242A4" w14:textId="68F4F4CA" w:rsidR="002D64EC" w:rsidRPr="00A24499" w:rsidRDefault="007F27EB" w:rsidP="007F27EB">
            <w:pPr>
              <w:spacing w:line="276" w:lineRule="auto"/>
            </w:pPr>
            <w:r w:rsidRPr="00A24499">
              <w:t>The post holder will have frequent contact with a wide range of law enforcement and partner organisations, as well as senior management, policy colleagues, other criminal justice organisations, relevant NICS Departments, and counterparts in other jurisdictions. Attendance at a wide range of meetings will be required.</w:t>
            </w:r>
          </w:p>
          <w:p w14:paraId="128353F0" w14:textId="77777777" w:rsidR="002D64EC" w:rsidRPr="00A24499" w:rsidRDefault="002D64EC" w:rsidP="007F27EB">
            <w:pPr>
              <w:spacing w:line="276" w:lineRule="auto"/>
            </w:pPr>
          </w:p>
          <w:p w14:paraId="1CCD9328" w14:textId="77777777" w:rsidR="002D64EC" w:rsidRDefault="002D64EC" w:rsidP="007F27EB">
            <w:pPr>
              <w:spacing w:line="276" w:lineRule="auto"/>
            </w:pPr>
          </w:p>
          <w:p w14:paraId="03B4E291" w14:textId="77777777" w:rsidR="00B30A97" w:rsidRPr="00A24499" w:rsidRDefault="00B30A97" w:rsidP="007F27EB">
            <w:pPr>
              <w:spacing w:line="276" w:lineRule="auto"/>
            </w:pPr>
          </w:p>
          <w:p w14:paraId="15931A35" w14:textId="77777777" w:rsidR="002D64EC" w:rsidRPr="00A24499" w:rsidRDefault="002D64EC" w:rsidP="007F27EB">
            <w:pPr>
              <w:spacing w:line="276" w:lineRule="auto"/>
            </w:pPr>
          </w:p>
        </w:tc>
      </w:tr>
    </w:tbl>
    <w:p w14:paraId="76AE47B1" w14:textId="77777777" w:rsidR="002D64EC" w:rsidRPr="00A24499" w:rsidRDefault="002D64EC"/>
    <w:p w14:paraId="17014BE3" w14:textId="77777777" w:rsidR="005B1766" w:rsidRPr="00A24499" w:rsidRDefault="005B1766">
      <w:pPr>
        <w:rPr>
          <w:b/>
          <w:bCs/>
        </w:rPr>
      </w:pPr>
    </w:p>
    <w:p w14:paraId="27C8FD3D" w14:textId="77777777" w:rsidR="002A0043" w:rsidRPr="00A24499" w:rsidRDefault="002A0043">
      <w:pPr>
        <w:rPr>
          <w:b/>
          <w:bCs/>
        </w:rPr>
      </w:pPr>
      <w:r w:rsidRPr="00A24499">
        <w:rPr>
          <w:b/>
          <w:bCs/>
        </w:rPr>
        <w:lastRenderedPageBreak/>
        <w:t>3.  Skills requirements</w:t>
      </w:r>
    </w:p>
    <w:p w14:paraId="64A7C25B" w14:textId="77777777" w:rsidR="002A0043" w:rsidRPr="00A24499" w:rsidRDefault="002A0043">
      <w:pPr>
        <w:rPr>
          <w:b/>
          <w:bCs/>
        </w:rPr>
      </w:pPr>
      <w:r w:rsidRPr="00A24499">
        <w:rPr>
          <w:b/>
          <w:bCs/>
        </w:rPr>
        <w:t xml:space="preserve">       </w:t>
      </w:r>
    </w:p>
    <w:p w14:paraId="12D81BEA" w14:textId="77777777" w:rsidR="002A0043" w:rsidRPr="00A24499" w:rsidRDefault="002A0043">
      <w:r w:rsidRPr="00A24499">
        <w:rPr>
          <w:b/>
          <w:bCs/>
        </w:rPr>
        <w:t xml:space="preserve">       </w:t>
      </w:r>
      <w:r w:rsidRPr="00A24499">
        <w:t xml:space="preserve">What qualities, skills and experience </w:t>
      </w:r>
      <w:proofErr w:type="gramStart"/>
      <w:r w:rsidRPr="00A24499">
        <w:t>is</w:t>
      </w:r>
      <w:proofErr w:type="gramEnd"/>
      <w:r w:rsidRPr="00A24499">
        <w:t xml:space="preserve"> required from the individual</w:t>
      </w:r>
    </w:p>
    <w:p w14:paraId="07B3A758" w14:textId="77777777" w:rsidR="002D64EC" w:rsidRPr="00A24499" w:rsidRDefault="002D64EC"/>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8"/>
      </w:tblGrid>
      <w:tr w:rsidR="002D64EC" w:rsidRPr="00A24499" w14:paraId="4CBD0559" w14:textId="77777777" w:rsidTr="00990432">
        <w:tc>
          <w:tcPr>
            <w:tcW w:w="7938" w:type="dxa"/>
          </w:tcPr>
          <w:p w14:paraId="17B7272A" w14:textId="77777777" w:rsidR="007F27EB" w:rsidRPr="00A24499" w:rsidRDefault="007F27EB" w:rsidP="007F27EB">
            <w:pPr>
              <w:pStyle w:val="ListBullet"/>
              <w:numPr>
                <w:ilvl w:val="0"/>
                <w:numId w:val="0"/>
              </w:numPr>
              <w:tabs>
                <w:tab w:val="num" w:pos="360"/>
              </w:tabs>
              <w:spacing w:line="360" w:lineRule="auto"/>
              <w:jc w:val="both"/>
              <w:rPr>
                <w:rFonts w:ascii="Times New Roman" w:hAnsi="Times New Roman"/>
                <w:sz w:val="24"/>
                <w:szCs w:val="24"/>
              </w:rPr>
            </w:pPr>
            <w:r w:rsidRPr="00A24499">
              <w:rPr>
                <w:rFonts w:ascii="Times New Roman" w:hAnsi="Times New Roman"/>
                <w:sz w:val="24"/>
                <w:szCs w:val="24"/>
              </w:rPr>
              <w:t>The key requirements are:</w:t>
            </w:r>
          </w:p>
          <w:p w14:paraId="6866423C" w14:textId="53440E53" w:rsidR="007F27EB" w:rsidRPr="00A24499" w:rsidRDefault="007F27EB" w:rsidP="007F27EB">
            <w:pPr>
              <w:pStyle w:val="ListBullet"/>
              <w:spacing w:line="360" w:lineRule="auto"/>
              <w:ind w:left="423" w:hanging="284"/>
              <w:rPr>
                <w:rFonts w:ascii="Times New Roman" w:hAnsi="Times New Roman"/>
                <w:sz w:val="24"/>
                <w:szCs w:val="24"/>
              </w:rPr>
            </w:pPr>
            <w:r w:rsidRPr="00A24499">
              <w:rPr>
                <w:rFonts w:ascii="Times New Roman" w:hAnsi="Times New Roman"/>
                <w:sz w:val="24"/>
                <w:szCs w:val="24"/>
              </w:rPr>
              <w:t xml:space="preserve">Experience managing and </w:t>
            </w:r>
            <w:r w:rsidR="00A24499" w:rsidRPr="00A24499">
              <w:rPr>
                <w:rFonts w:ascii="Times New Roman" w:hAnsi="Times New Roman"/>
                <w:sz w:val="24"/>
                <w:szCs w:val="24"/>
              </w:rPr>
              <w:t>analyzing</w:t>
            </w:r>
            <w:r w:rsidRPr="00A24499">
              <w:rPr>
                <w:rFonts w:ascii="Times New Roman" w:hAnsi="Times New Roman"/>
                <w:sz w:val="24"/>
                <w:szCs w:val="24"/>
              </w:rPr>
              <w:t xml:space="preserve"> data from multiple sources, including quality assurance.</w:t>
            </w:r>
          </w:p>
          <w:p w14:paraId="3607D8AE" w14:textId="77777777" w:rsidR="007F27EB" w:rsidRPr="00A24499" w:rsidRDefault="007F27EB" w:rsidP="007F27EB">
            <w:pPr>
              <w:pStyle w:val="ListBullet"/>
              <w:spacing w:line="360" w:lineRule="auto"/>
              <w:ind w:left="423" w:hanging="284"/>
              <w:rPr>
                <w:rFonts w:ascii="Times New Roman" w:hAnsi="Times New Roman"/>
                <w:sz w:val="24"/>
                <w:szCs w:val="24"/>
              </w:rPr>
            </w:pPr>
            <w:r w:rsidRPr="00A24499">
              <w:rPr>
                <w:rFonts w:ascii="Times New Roman" w:hAnsi="Times New Roman"/>
                <w:sz w:val="24"/>
                <w:szCs w:val="24"/>
              </w:rPr>
              <w:t>Ability to identify patterns and trends and assess implications for policy and operational decision-making.</w:t>
            </w:r>
          </w:p>
          <w:p w14:paraId="66105FBA" w14:textId="77777777" w:rsidR="007F27EB" w:rsidRPr="00A24499" w:rsidRDefault="007F27EB" w:rsidP="007F27EB">
            <w:pPr>
              <w:pStyle w:val="ListBullet"/>
              <w:spacing w:line="360" w:lineRule="auto"/>
              <w:ind w:left="423" w:hanging="284"/>
              <w:rPr>
                <w:rFonts w:ascii="Times New Roman" w:hAnsi="Times New Roman"/>
                <w:sz w:val="24"/>
                <w:szCs w:val="24"/>
              </w:rPr>
            </w:pPr>
            <w:r w:rsidRPr="00A24499">
              <w:rPr>
                <w:rFonts w:ascii="Times New Roman" w:hAnsi="Times New Roman"/>
                <w:sz w:val="24"/>
                <w:szCs w:val="24"/>
              </w:rPr>
              <w:t>Ability to take ownership of work, manage competing priorities and work effectively to deliver results within deadlines.</w:t>
            </w:r>
          </w:p>
          <w:p w14:paraId="1D355E94" w14:textId="77777777" w:rsidR="007F27EB" w:rsidRPr="00A24499" w:rsidRDefault="007F27EB" w:rsidP="007F27EB">
            <w:pPr>
              <w:pStyle w:val="ListBullet"/>
              <w:spacing w:line="360" w:lineRule="auto"/>
              <w:ind w:left="423" w:hanging="284"/>
              <w:rPr>
                <w:rFonts w:ascii="Times New Roman" w:hAnsi="Times New Roman"/>
                <w:sz w:val="24"/>
                <w:szCs w:val="24"/>
              </w:rPr>
            </w:pPr>
            <w:r w:rsidRPr="00A24499">
              <w:rPr>
                <w:rFonts w:ascii="Times New Roman" w:hAnsi="Times New Roman"/>
                <w:sz w:val="24"/>
                <w:szCs w:val="24"/>
              </w:rPr>
              <w:t>Competence in qualitative and quantitative research, including horizon scanning.</w:t>
            </w:r>
          </w:p>
          <w:p w14:paraId="237A1ED9" w14:textId="77777777" w:rsidR="007F27EB" w:rsidRPr="00A24499" w:rsidRDefault="007F27EB" w:rsidP="007F27EB">
            <w:pPr>
              <w:pStyle w:val="ListBullet"/>
              <w:spacing w:line="360" w:lineRule="auto"/>
              <w:ind w:left="423" w:hanging="284"/>
              <w:rPr>
                <w:rFonts w:ascii="Times New Roman" w:hAnsi="Times New Roman"/>
                <w:sz w:val="24"/>
                <w:szCs w:val="24"/>
              </w:rPr>
            </w:pPr>
            <w:r w:rsidRPr="00A24499">
              <w:rPr>
                <w:rFonts w:ascii="Times New Roman" w:hAnsi="Times New Roman"/>
                <w:sz w:val="24"/>
                <w:szCs w:val="24"/>
              </w:rPr>
              <w:t>Strong communication skills with the ability to explain complex findings to non-technical audiences.</w:t>
            </w:r>
          </w:p>
          <w:p w14:paraId="1EFE1E76" w14:textId="77777777" w:rsidR="007F27EB" w:rsidRPr="00A24499" w:rsidRDefault="007F27EB" w:rsidP="007F27EB">
            <w:pPr>
              <w:pStyle w:val="ListBullet"/>
              <w:spacing w:line="360" w:lineRule="auto"/>
              <w:ind w:left="423" w:hanging="284"/>
              <w:rPr>
                <w:rFonts w:ascii="Times New Roman" w:hAnsi="Times New Roman"/>
                <w:sz w:val="24"/>
                <w:szCs w:val="24"/>
              </w:rPr>
            </w:pPr>
            <w:r w:rsidRPr="00A24499">
              <w:rPr>
                <w:rFonts w:ascii="Times New Roman" w:hAnsi="Times New Roman"/>
                <w:sz w:val="24"/>
                <w:szCs w:val="24"/>
              </w:rPr>
              <w:t>Strong project and time-management skills.</w:t>
            </w:r>
          </w:p>
          <w:p w14:paraId="15E34E1E" w14:textId="77777777" w:rsidR="007F27EB" w:rsidRPr="00A24499" w:rsidRDefault="007F27EB" w:rsidP="007F27EB">
            <w:pPr>
              <w:pStyle w:val="ListBullet"/>
              <w:spacing w:line="360" w:lineRule="auto"/>
              <w:ind w:left="423" w:hanging="284"/>
              <w:rPr>
                <w:rFonts w:ascii="Times New Roman" w:hAnsi="Times New Roman"/>
                <w:sz w:val="24"/>
                <w:szCs w:val="24"/>
              </w:rPr>
            </w:pPr>
            <w:r w:rsidRPr="00A24499">
              <w:rPr>
                <w:rFonts w:ascii="Times New Roman" w:hAnsi="Times New Roman"/>
                <w:sz w:val="24"/>
                <w:szCs w:val="24"/>
              </w:rPr>
              <w:t>Experience handling sensitive data in line with data protection standards.</w:t>
            </w:r>
          </w:p>
          <w:p w14:paraId="4C387FAF" w14:textId="77777777" w:rsidR="007F27EB" w:rsidRPr="00A24499" w:rsidRDefault="007F27EB" w:rsidP="007F27EB">
            <w:pPr>
              <w:pStyle w:val="ListBullet"/>
              <w:spacing w:line="360" w:lineRule="auto"/>
              <w:ind w:left="423" w:hanging="284"/>
              <w:rPr>
                <w:rFonts w:ascii="Times New Roman" w:hAnsi="Times New Roman"/>
                <w:sz w:val="24"/>
                <w:szCs w:val="24"/>
              </w:rPr>
            </w:pPr>
            <w:r w:rsidRPr="00A24499">
              <w:rPr>
                <w:rFonts w:ascii="Times New Roman" w:hAnsi="Times New Roman"/>
                <w:sz w:val="24"/>
                <w:szCs w:val="24"/>
              </w:rPr>
              <w:t>Good IT skills, including Word, Excel, and PowerPoint.</w:t>
            </w:r>
          </w:p>
          <w:p w14:paraId="121D8243" w14:textId="2E872B8D" w:rsidR="002D64EC" w:rsidRPr="00A24499" w:rsidRDefault="007F27EB" w:rsidP="007F27EB">
            <w:r w:rsidRPr="00A24499">
              <w:t>Strong interpersonal skills with the ability to work collaboratively and build relationships with key stakeholders.</w:t>
            </w:r>
          </w:p>
          <w:p w14:paraId="44109F53" w14:textId="77777777" w:rsidR="002D64EC" w:rsidRPr="00A24499" w:rsidRDefault="002D64EC"/>
        </w:tc>
      </w:tr>
    </w:tbl>
    <w:p w14:paraId="0A830B24" w14:textId="77777777" w:rsidR="002D64EC" w:rsidRPr="00A24499" w:rsidRDefault="002D64EC"/>
    <w:p w14:paraId="604F1574" w14:textId="77777777" w:rsidR="002A0043" w:rsidRPr="00A24499" w:rsidRDefault="002A0043">
      <w:pPr>
        <w:rPr>
          <w:b/>
          <w:bCs/>
        </w:rPr>
      </w:pPr>
    </w:p>
    <w:p w14:paraId="54F6F7E1" w14:textId="77777777" w:rsidR="002A0043" w:rsidRPr="00A24499" w:rsidRDefault="002A0043">
      <w:pPr>
        <w:rPr>
          <w:b/>
          <w:bCs/>
        </w:rPr>
      </w:pPr>
      <w:r w:rsidRPr="00A24499">
        <w:rPr>
          <w:b/>
          <w:bCs/>
        </w:rPr>
        <w:t>4.  Personnel: Please state below</w:t>
      </w:r>
    </w:p>
    <w:p w14:paraId="21904C6E" w14:textId="77777777" w:rsidR="002A0043" w:rsidRPr="00A24499" w:rsidRDefault="002A0043">
      <w:pPr>
        <w:rPr>
          <w:b/>
          <w:bCs/>
        </w:rPr>
      </w:pPr>
    </w:p>
    <w:p w14:paraId="37D0DBB2" w14:textId="77777777" w:rsidR="002A0043" w:rsidRPr="00A24499" w:rsidRDefault="002A0043">
      <w:r w:rsidRPr="00A24499">
        <w:t xml:space="preserve">         Who will the individual report to?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6"/>
      </w:tblGrid>
      <w:tr w:rsidR="002D64EC" w:rsidRPr="00A24499" w14:paraId="77FB0434" w14:textId="77777777" w:rsidTr="00990432">
        <w:tc>
          <w:tcPr>
            <w:tcW w:w="7796" w:type="dxa"/>
          </w:tcPr>
          <w:p w14:paraId="15BB8141" w14:textId="77777777" w:rsidR="00B30A97" w:rsidRDefault="00B30A97"/>
          <w:p w14:paraId="62891D4B" w14:textId="460054A1" w:rsidR="002D64EC" w:rsidRPr="00A24499" w:rsidRDefault="007F27EB">
            <w:r w:rsidRPr="00A24499">
              <w:t xml:space="preserve">The role holder will report to the Head of Organised Crime Branch. </w:t>
            </w:r>
          </w:p>
          <w:p w14:paraId="4530B0CA" w14:textId="77777777" w:rsidR="002D64EC" w:rsidRPr="00A24499" w:rsidRDefault="002D64EC"/>
        </w:tc>
      </w:tr>
    </w:tbl>
    <w:p w14:paraId="73DD4263" w14:textId="77777777" w:rsidR="002D64EC" w:rsidRPr="00A24499" w:rsidRDefault="002D64EC"/>
    <w:p w14:paraId="0A48C7C7" w14:textId="77777777" w:rsidR="002A0043" w:rsidRPr="00A24499" w:rsidRDefault="002A0043"/>
    <w:p w14:paraId="2524E1DB" w14:textId="77777777" w:rsidR="002A0043" w:rsidRPr="00A24499" w:rsidRDefault="002A0043">
      <w:r w:rsidRPr="00A24499">
        <w:t xml:space="preserve">         Who will be the individual’s line manager and/or reporting officer?</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6"/>
      </w:tblGrid>
      <w:tr w:rsidR="00BE0687" w:rsidRPr="00A24499" w14:paraId="1DC1D2AA" w14:textId="77777777" w:rsidTr="00990432">
        <w:tc>
          <w:tcPr>
            <w:tcW w:w="7796" w:type="dxa"/>
          </w:tcPr>
          <w:p w14:paraId="12F949C1" w14:textId="77777777" w:rsidR="00BE0687" w:rsidRPr="00A24499" w:rsidRDefault="00BE0687"/>
          <w:p w14:paraId="581EC2D7" w14:textId="1077B048" w:rsidR="007F27EB" w:rsidRPr="00A24499" w:rsidRDefault="007F27EB">
            <w:r w:rsidRPr="00A24499">
              <w:t>The Line manager will be the Head of Organised Crime Branch.</w:t>
            </w:r>
          </w:p>
          <w:p w14:paraId="1155A5AF" w14:textId="77777777" w:rsidR="00BE0687" w:rsidRPr="00A24499" w:rsidRDefault="00BE0687"/>
        </w:tc>
      </w:tr>
    </w:tbl>
    <w:p w14:paraId="2FBB898E" w14:textId="77777777" w:rsidR="00BE0687" w:rsidRPr="00A24499" w:rsidRDefault="00BE0687"/>
    <w:p w14:paraId="2B109940" w14:textId="77777777" w:rsidR="002D64EC" w:rsidRPr="00A24499" w:rsidRDefault="002D64EC"/>
    <w:p w14:paraId="36D40950" w14:textId="77777777" w:rsidR="002A0043" w:rsidRPr="00A24499" w:rsidRDefault="002A0043">
      <w:r w:rsidRPr="00A24499">
        <w:rPr>
          <w:b/>
          <w:bCs/>
        </w:rPr>
        <w:t>5.  Transfer of learning</w:t>
      </w:r>
    </w:p>
    <w:p w14:paraId="7F760C76" w14:textId="77777777" w:rsidR="002A0043" w:rsidRPr="00A24499" w:rsidRDefault="002A0043">
      <w:r w:rsidRPr="00A24499">
        <w:t xml:space="preserve">     Please give details of how the Opportunity will benefit your organisation, the </w:t>
      </w:r>
    </w:p>
    <w:p w14:paraId="6EC9193A" w14:textId="77777777" w:rsidR="002A0043" w:rsidRPr="00A24499" w:rsidRDefault="002A0043" w:rsidP="005B1766">
      <w:r w:rsidRPr="00A24499">
        <w:t xml:space="preserve">     individual and their organisation.</w:t>
      </w:r>
      <w:r w:rsidR="005B1766" w:rsidRPr="00A24499">
        <w:t xml:space="preserve"> </w:t>
      </w:r>
    </w:p>
    <w:p w14:paraId="33D9CAC5" w14:textId="77777777" w:rsidR="004C6545" w:rsidRPr="00A24499" w:rsidRDefault="004C6545">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4C6545" w:rsidRPr="00A24499" w14:paraId="64F6CA15" w14:textId="77777777" w:rsidTr="00FC5D2E">
        <w:tc>
          <w:tcPr>
            <w:tcW w:w="8522" w:type="dxa"/>
          </w:tcPr>
          <w:p w14:paraId="2E54F58A" w14:textId="77777777" w:rsidR="00A24499" w:rsidRPr="00A24499" w:rsidRDefault="00A24499" w:rsidP="00A24499">
            <w:pPr>
              <w:spacing w:before="240"/>
              <w:jc w:val="both"/>
              <w:rPr>
                <w:b/>
              </w:rPr>
            </w:pPr>
            <w:r w:rsidRPr="00A24499">
              <w:rPr>
                <w:b/>
              </w:rPr>
              <w:t>Benefit to Individual</w:t>
            </w:r>
          </w:p>
          <w:p w14:paraId="0C5C86A7" w14:textId="77777777" w:rsidR="00A24499" w:rsidRPr="00A24499" w:rsidRDefault="00A24499" w:rsidP="00A24499">
            <w:pPr>
              <w:jc w:val="both"/>
              <w:rPr>
                <w:b/>
              </w:rPr>
            </w:pPr>
          </w:p>
          <w:p w14:paraId="002DC6AF" w14:textId="77777777" w:rsidR="00B30A97" w:rsidRDefault="00A24499" w:rsidP="00B30A97">
            <w:pPr>
              <w:jc w:val="both"/>
            </w:pPr>
            <w:r w:rsidRPr="00A24499">
              <w:t xml:space="preserve">As a DP the individual will join a team of </w:t>
            </w:r>
            <w:r>
              <w:t>seven</w:t>
            </w:r>
            <w:r w:rsidRPr="00A24499">
              <w:t xml:space="preserve"> staff.  </w:t>
            </w:r>
            <w:r w:rsidR="00B30A97">
              <w:t>This role offers the individual an excellent opportunity to develop and apply high-level analytical, strategic and policy skills in a fast-paced and high-profile area of the Department of Justice. Working closely with OCTF partners, law enforcement agencies and wider stakeholders, the post holder will gain valuable experience of collaborative working, evidence-based policy development, and strategic planning in relation to organised crime and safer communities.</w:t>
            </w:r>
          </w:p>
          <w:p w14:paraId="604D6DCE" w14:textId="157A6888" w:rsidR="00B30A97" w:rsidRPr="00B30A97" w:rsidRDefault="00B30A97" w:rsidP="00B30A97">
            <w:pPr>
              <w:spacing w:before="240"/>
              <w:jc w:val="both"/>
            </w:pPr>
            <w:r>
              <w:t>The role will also allow the individual to strengthen their ability to interpret and present complex data, produce high-quality assessments and briefings, and contribute to work that directly informs senior decision-making. In doing so, they will build strong professional networks, enhance their problem-solving and communication skills, and broaden their experience in justice policy, analysis and cross-sector partnership working.</w:t>
            </w:r>
          </w:p>
          <w:p w14:paraId="68DBC086" w14:textId="77777777" w:rsidR="003A37AC" w:rsidRDefault="00A24499" w:rsidP="003A37AC">
            <w:pPr>
              <w:spacing w:before="240"/>
              <w:jc w:val="both"/>
              <w:rPr>
                <w:b/>
              </w:rPr>
            </w:pPr>
            <w:r w:rsidRPr="00A24499">
              <w:rPr>
                <w:b/>
              </w:rPr>
              <w:t>Benefit to individual’s employer</w:t>
            </w:r>
          </w:p>
          <w:p w14:paraId="344E15BA" w14:textId="4605D57C" w:rsidR="007B22FB" w:rsidRPr="003A37AC" w:rsidRDefault="007B22FB" w:rsidP="003A37AC">
            <w:pPr>
              <w:spacing w:before="240"/>
              <w:jc w:val="both"/>
              <w:rPr>
                <w:b/>
              </w:rPr>
            </w:pPr>
            <w:proofErr w:type="gramStart"/>
            <w:r>
              <w:rPr>
                <w:lang w:val="en"/>
              </w:rPr>
              <w:t>The</w:t>
            </w:r>
            <w:proofErr w:type="gramEnd"/>
            <w:r>
              <w:rPr>
                <w:lang w:val="en"/>
              </w:rPr>
              <w:t xml:space="preserve"> role will provide the individual’s employer with a significant return through the development of stronger analytical, strategic and partnership-working skills in a fast-paced and high-profile environment. The individual will gain valuable experience of working across </w:t>
            </w:r>
            <w:proofErr w:type="spellStart"/>
            <w:r>
              <w:rPr>
                <w:lang w:val="en"/>
              </w:rPr>
              <w:t>organisational</w:t>
            </w:r>
            <w:proofErr w:type="spellEnd"/>
            <w:r>
              <w:rPr>
                <w:lang w:val="en"/>
              </w:rPr>
              <w:t xml:space="preserve"> boundaries, building relationships with law enforcement agencies, partner bodies and wider stakeholders, and applying evidence-based analysis to complex issues. On return, they will bring back enhanced capability, broader professional networks, and a deeper understanding of cross-sector working, all of which will strengthen the employer’s own capacity, support future collaboration, and add longer-term </w:t>
            </w:r>
            <w:proofErr w:type="spellStart"/>
            <w:r>
              <w:rPr>
                <w:lang w:val="en"/>
              </w:rPr>
              <w:t>organisational</w:t>
            </w:r>
            <w:proofErr w:type="spellEnd"/>
            <w:r>
              <w:rPr>
                <w:lang w:val="en"/>
              </w:rPr>
              <w:t xml:space="preserve"> value.</w:t>
            </w:r>
          </w:p>
          <w:p w14:paraId="1A202D4B" w14:textId="587A6DA0" w:rsidR="00A24499" w:rsidRPr="00A24499" w:rsidRDefault="00A24499" w:rsidP="00A24499">
            <w:pPr>
              <w:spacing w:before="240" w:after="240" w:line="288" w:lineRule="atLeast"/>
              <w:jc w:val="both"/>
              <w:rPr>
                <w:b/>
                <w:lang w:val="en"/>
              </w:rPr>
            </w:pPr>
            <w:r w:rsidRPr="00A24499">
              <w:rPr>
                <w:b/>
                <w:lang w:val="en"/>
              </w:rPr>
              <w:t xml:space="preserve">Benefit to the </w:t>
            </w:r>
            <w:r w:rsidR="00B30A97">
              <w:rPr>
                <w:b/>
                <w:lang w:val="en"/>
              </w:rPr>
              <w:t>OCTF / DoJ</w:t>
            </w:r>
          </w:p>
          <w:p w14:paraId="766A34E4" w14:textId="6111CDC8" w:rsidR="003A37AC" w:rsidRPr="003A37AC" w:rsidRDefault="00A24499" w:rsidP="003A37AC">
            <w:pPr>
              <w:spacing w:line="300" w:lineRule="atLeast"/>
              <w:rPr>
                <w:sz w:val="22"/>
                <w:szCs w:val="22"/>
              </w:rPr>
            </w:pPr>
            <w:r w:rsidRPr="003A37AC">
              <w:rPr>
                <w:bCs/>
                <w:sz w:val="22"/>
                <w:szCs w:val="22"/>
              </w:rPr>
              <w:t xml:space="preserve">The </w:t>
            </w:r>
            <w:r w:rsidR="00B30A97" w:rsidRPr="003A37AC">
              <w:rPr>
                <w:bCs/>
                <w:sz w:val="22"/>
                <w:szCs w:val="22"/>
              </w:rPr>
              <w:t>OCTF / DoJ</w:t>
            </w:r>
            <w:r w:rsidRPr="003A37AC">
              <w:rPr>
                <w:bCs/>
                <w:sz w:val="22"/>
                <w:szCs w:val="22"/>
              </w:rPr>
              <w:t xml:space="preserve"> will benefit from </w:t>
            </w:r>
            <w:r w:rsidR="003A37AC">
              <w:rPr>
                <w:bCs/>
                <w:sz w:val="22"/>
                <w:szCs w:val="22"/>
              </w:rPr>
              <w:t>a</w:t>
            </w:r>
            <w:r w:rsidRPr="003A37AC">
              <w:rPr>
                <w:bCs/>
                <w:sz w:val="22"/>
                <w:szCs w:val="22"/>
              </w:rPr>
              <w:t xml:space="preserve"> different perspective, skills</w:t>
            </w:r>
            <w:r w:rsidR="003A37AC">
              <w:rPr>
                <w:bCs/>
                <w:sz w:val="22"/>
                <w:szCs w:val="22"/>
              </w:rPr>
              <w:t>-set,</w:t>
            </w:r>
            <w:r w:rsidRPr="003A37AC">
              <w:rPr>
                <w:bCs/>
                <w:sz w:val="22"/>
                <w:szCs w:val="22"/>
              </w:rPr>
              <w:t xml:space="preserve"> and experiences brought by an individual from another organisation.</w:t>
            </w:r>
            <w:r w:rsidR="003A37AC" w:rsidRPr="003A37AC">
              <w:rPr>
                <w:bCs/>
                <w:sz w:val="22"/>
                <w:szCs w:val="22"/>
              </w:rPr>
              <w:t xml:space="preserve">  </w:t>
            </w:r>
            <w:r w:rsidR="003A37AC" w:rsidRPr="003A37AC">
              <w:rPr>
                <w:sz w:val="22"/>
                <w:szCs w:val="22"/>
              </w:rPr>
              <w:t xml:space="preserve"> The role will add analytical capacity and capability to support a stronger evidence base for policy development, strategic planning and performance reporting.  It will also help strengthen partnership working across agencies by bringing wider networks, new insight and an external perspective to shared challenges.</w:t>
            </w:r>
          </w:p>
          <w:p w14:paraId="0717FB26" w14:textId="77777777" w:rsidR="003735E0" w:rsidRPr="00A24499" w:rsidRDefault="003735E0">
            <w:pPr>
              <w:rPr>
                <w:b/>
                <w:bCs/>
              </w:rPr>
            </w:pPr>
          </w:p>
          <w:p w14:paraId="3E0AA2E4" w14:textId="77777777" w:rsidR="003735E0" w:rsidRPr="00A24499" w:rsidRDefault="003735E0">
            <w:pPr>
              <w:rPr>
                <w:b/>
                <w:bCs/>
              </w:rPr>
            </w:pPr>
          </w:p>
          <w:p w14:paraId="3917E69C" w14:textId="77777777" w:rsidR="003735E0" w:rsidRPr="00A24499" w:rsidRDefault="003735E0">
            <w:pPr>
              <w:rPr>
                <w:b/>
                <w:bCs/>
              </w:rPr>
            </w:pPr>
          </w:p>
        </w:tc>
      </w:tr>
    </w:tbl>
    <w:p w14:paraId="6AB3788B" w14:textId="77777777" w:rsidR="00735393" w:rsidRPr="00A24499" w:rsidRDefault="00735393">
      <w:pPr>
        <w:rPr>
          <w:b/>
          <w:bCs/>
        </w:rPr>
      </w:pPr>
    </w:p>
    <w:p w14:paraId="02246270" w14:textId="77777777" w:rsidR="00735393" w:rsidRDefault="00735393">
      <w:pPr>
        <w:rPr>
          <w:b/>
          <w:bCs/>
        </w:rPr>
      </w:pPr>
    </w:p>
    <w:p w14:paraId="26F5CD3A" w14:textId="77777777" w:rsidR="003A37AC" w:rsidRDefault="003A37AC">
      <w:pPr>
        <w:rPr>
          <w:b/>
          <w:bCs/>
        </w:rPr>
      </w:pPr>
    </w:p>
    <w:p w14:paraId="259C986B" w14:textId="77777777" w:rsidR="003A37AC" w:rsidRDefault="003A37AC">
      <w:pPr>
        <w:rPr>
          <w:b/>
          <w:bCs/>
        </w:rPr>
      </w:pPr>
    </w:p>
    <w:p w14:paraId="47442D7C" w14:textId="77777777" w:rsidR="003A37AC" w:rsidRPr="00A24499" w:rsidRDefault="003A37AC">
      <w:pPr>
        <w:rPr>
          <w:b/>
          <w:bCs/>
        </w:rPr>
      </w:pPr>
    </w:p>
    <w:p w14:paraId="48E1126B" w14:textId="77777777" w:rsidR="002A0043" w:rsidRPr="00A24499" w:rsidRDefault="002A0043">
      <w:pPr>
        <w:rPr>
          <w:b/>
          <w:bCs/>
        </w:rPr>
      </w:pPr>
      <w:r w:rsidRPr="00A24499">
        <w:rPr>
          <w:b/>
          <w:bCs/>
        </w:rPr>
        <w:lastRenderedPageBreak/>
        <w:t>6.  Logistics</w:t>
      </w:r>
    </w:p>
    <w:p w14:paraId="7D8C6165" w14:textId="77777777" w:rsidR="002A0043" w:rsidRPr="00A24499" w:rsidRDefault="002A0043">
      <w:pPr>
        <w:rPr>
          <w:lang w:val="en-US"/>
        </w:rPr>
      </w:pPr>
      <w:r w:rsidRPr="00A24499">
        <w:rPr>
          <w:b/>
          <w:bCs/>
        </w:rPr>
        <w:t xml:space="preserve">     </w:t>
      </w:r>
      <w:r w:rsidRPr="00A24499">
        <w:t xml:space="preserve">Please provide details of the likely start date, duration, location, </w:t>
      </w:r>
      <w:r w:rsidR="00BB7E71" w:rsidRPr="00A24499">
        <w:t xml:space="preserve">form of transport required, </w:t>
      </w:r>
      <w:r w:rsidRPr="00A24499">
        <w:t>resources (i.e.;</w:t>
      </w:r>
      <w:r w:rsidRPr="00A24499">
        <w:rPr>
          <w:lang w:val="en-US"/>
        </w:rPr>
        <w:t xml:space="preserve"> desk, PC, etc.) and funding arrangements for the opportunity.</w:t>
      </w:r>
    </w:p>
    <w:p w14:paraId="0D815E53" w14:textId="77777777" w:rsidR="002A0043" w:rsidRPr="00A24499" w:rsidRDefault="002A0043">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5246E1" w:rsidRPr="00A24499" w14:paraId="7EB33C4D" w14:textId="77777777" w:rsidTr="00437CCD">
        <w:tc>
          <w:tcPr>
            <w:tcW w:w="8522" w:type="dxa"/>
          </w:tcPr>
          <w:p w14:paraId="370C48BB" w14:textId="7EF19CAB" w:rsidR="005246E1" w:rsidRPr="00A24499" w:rsidRDefault="006C3B3A">
            <w:pPr>
              <w:rPr>
                <w:lang w:val="en-US"/>
              </w:rPr>
            </w:pPr>
            <w:r w:rsidRPr="00A24499">
              <w:rPr>
                <w:b/>
                <w:lang w:val="en-US"/>
              </w:rPr>
              <w:t>Start Date</w:t>
            </w:r>
            <w:r w:rsidRPr="00A24499">
              <w:rPr>
                <w:lang w:val="en-US"/>
              </w:rPr>
              <w:t>:</w:t>
            </w:r>
            <w:r w:rsidR="00F946DC" w:rsidRPr="00A24499">
              <w:rPr>
                <w:lang w:val="en-US"/>
              </w:rPr>
              <w:t xml:space="preserve"> TBA</w:t>
            </w:r>
          </w:p>
          <w:p w14:paraId="6D4EF8B6" w14:textId="77777777" w:rsidR="006C3B3A" w:rsidRPr="00A24499" w:rsidRDefault="006C3B3A">
            <w:pPr>
              <w:rPr>
                <w:lang w:val="en-US"/>
              </w:rPr>
            </w:pPr>
          </w:p>
          <w:p w14:paraId="09A8429A" w14:textId="20112571" w:rsidR="006C3B3A" w:rsidRPr="00A24499" w:rsidRDefault="006C3B3A">
            <w:pPr>
              <w:rPr>
                <w:lang w:val="en-US"/>
              </w:rPr>
            </w:pPr>
            <w:r w:rsidRPr="00A24499">
              <w:rPr>
                <w:b/>
                <w:lang w:val="en-US"/>
              </w:rPr>
              <w:t>Duration</w:t>
            </w:r>
            <w:r w:rsidRPr="00A24499">
              <w:rPr>
                <w:lang w:val="en-US"/>
              </w:rPr>
              <w:t>:</w:t>
            </w:r>
            <w:r w:rsidR="00F946DC" w:rsidRPr="00A24499">
              <w:rPr>
                <w:lang w:val="en-US"/>
              </w:rPr>
              <w:t xml:space="preserve"> Initially 1 year with </w:t>
            </w:r>
            <w:r w:rsidR="003A37AC" w:rsidRPr="00A24499">
              <w:rPr>
                <w:lang w:val="en-US"/>
              </w:rPr>
              <w:t>the possibility</w:t>
            </w:r>
            <w:r w:rsidR="00F946DC" w:rsidRPr="00A24499">
              <w:rPr>
                <w:lang w:val="en-US"/>
              </w:rPr>
              <w:t xml:space="preserve"> of extension for a further 1 or 2 years (subject to agreement of both parties)</w:t>
            </w:r>
          </w:p>
          <w:p w14:paraId="170FB164" w14:textId="77777777" w:rsidR="006C3B3A" w:rsidRPr="00A24499" w:rsidRDefault="006C3B3A">
            <w:pPr>
              <w:rPr>
                <w:lang w:val="en-US"/>
              </w:rPr>
            </w:pPr>
          </w:p>
          <w:p w14:paraId="5014F995" w14:textId="52D23C68" w:rsidR="006C3B3A" w:rsidRPr="00A24499" w:rsidRDefault="006C3B3A">
            <w:pPr>
              <w:rPr>
                <w:lang w:val="en-US"/>
              </w:rPr>
            </w:pPr>
            <w:r w:rsidRPr="00A24499">
              <w:rPr>
                <w:b/>
                <w:lang w:val="en-US"/>
              </w:rPr>
              <w:t>Location</w:t>
            </w:r>
            <w:r w:rsidRPr="00A24499">
              <w:rPr>
                <w:lang w:val="en-US"/>
              </w:rPr>
              <w:t>:</w:t>
            </w:r>
            <w:r w:rsidR="00F946DC" w:rsidRPr="00A24499">
              <w:rPr>
                <w:lang w:val="en-US"/>
              </w:rPr>
              <w:t xml:space="preserve"> This has been a hybrid post with a minimum of two days in the office – </w:t>
            </w:r>
            <w:proofErr w:type="spellStart"/>
            <w:r w:rsidR="00F946DC" w:rsidRPr="00A24499">
              <w:rPr>
                <w:lang w:val="en-US"/>
              </w:rPr>
              <w:t>Knockview</w:t>
            </w:r>
            <w:proofErr w:type="spellEnd"/>
            <w:r w:rsidR="00F946DC" w:rsidRPr="00A24499">
              <w:rPr>
                <w:lang w:val="en-US"/>
              </w:rPr>
              <w:t xml:space="preserve"> Buildings, Stormont</w:t>
            </w:r>
            <w:r w:rsidR="003A37AC">
              <w:rPr>
                <w:lang w:val="en-US"/>
              </w:rPr>
              <w:t xml:space="preserve">.  This post may require some </w:t>
            </w:r>
            <w:proofErr w:type="gramStart"/>
            <w:r w:rsidR="003A37AC">
              <w:rPr>
                <w:lang w:val="en-US"/>
              </w:rPr>
              <w:t>off site</w:t>
            </w:r>
            <w:proofErr w:type="gramEnd"/>
            <w:r w:rsidR="003A37AC">
              <w:rPr>
                <w:lang w:val="en-US"/>
              </w:rPr>
              <w:t xml:space="preserve"> </w:t>
            </w:r>
            <w:proofErr w:type="gramStart"/>
            <w:r w:rsidR="003A37AC">
              <w:rPr>
                <w:lang w:val="en-US"/>
              </w:rPr>
              <w:t>working</w:t>
            </w:r>
            <w:proofErr w:type="gramEnd"/>
            <w:r w:rsidR="003A37AC">
              <w:rPr>
                <w:lang w:val="en-US"/>
              </w:rPr>
              <w:t xml:space="preserve"> with partner </w:t>
            </w:r>
            <w:proofErr w:type="spellStart"/>
            <w:r w:rsidR="003A37AC">
              <w:rPr>
                <w:lang w:val="en-US"/>
              </w:rPr>
              <w:t>organisations</w:t>
            </w:r>
            <w:proofErr w:type="spellEnd"/>
            <w:r w:rsidR="003A37AC">
              <w:rPr>
                <w:lang w:val="en-US"/>
              </w:rPr>
              <w:t xml:space="preserve">, on occasion. </w:t>
            </w:r>
          </w:p>
          <w:p w14:paraId="4FB7A211" w14:textId="77777777" w:rsidR="006C3B3A" w:rsidRPr="00A24499" w:rsidRDefault="006C3B3A">
            <w:pPr>
              <w:rPr>
                <w:lang w:val="en-US"/>
              </w:rPr>
            </w:pPr>
          </w:p>
          <w:p w14:paraId="6F685710" w14:textId="09CE2F7C" w:rsidR="00F946DC" w:rsidRDefault="006C3B3A" w:rsidP="00F946DC">
            <w:pPr>
              <w:jc w:val="both"/>
              <w:rPr>
                <w:lang w:val="en-US"/>
              </w:rPr>
            </w:pPr>
            <w:r w:rsidRPr="00A24499">
              <w:rPr>
                <w:b/>
                <w:lang w:val="en-US"/>
              </w:rPr>
              <w:t>Funding</w:t>
            </w:r>
            <w:r w:rsidRPr="00A24499">
              <w:rPr>
                <w:lang w:val="en-US"/>
              </w:rPr>
              <w:t>:</w:t>
            </w:r>
            <w:r w:rsidR="00F946DC" w:rsidRPr="00A24499">
              <w:rPr>
                <w:lang w:val="en-US"/>
              </w:rPr>
              <w:t xml:space="preserve"> </w:t>
            </w:r>
            <w:r w:rsidR="00F946DC" w:rsidRPr="00A24499">
              <w:t>The salary will be base</w:t>
            </w:r>
            <w:r w:rsidR="00B30A97">
              <w:t>d</w:t>
            </w:r>
            <w:r w:rsidR="00F946DC" w:rsidRPr="00A24499">
              <w:t xml:space="preserve"> on the NICS Deputy Principal pay band.  OCB, DOJ, will pay the total salary and associated costs to the home department/organisation on a full cost recovery basis.  </w:t>
            </w:r>
            <w:r w:rsidR="00F946DC" w:rsidRPr="00A24499">
              <w:rPr>
                <w:lang w:val="en-US"/>
              </w:rPr>
              <w:t xml:space="preserve"> The successful candidate will be appointed on the </w:t>
            </w:r>
            <w:proofErr w:type="gramStart"/>
            <w:r w:rsidR="00F946DC" w:rsidRPr="00A24499">
              <w:rPr>
                <w:lang w:val="en-US"/>
              </w:rPr>
              <w:t>band minimum</w:t>
            </w:r>
            <w:proofErr w:type="gramEnd"/>
            <w:r w:rsidR="00F946DC" w:rsidRPr="00A24499">
              <w:rPr>
                <w:lang w:val="en-US"/>
              </w:rPr>
              <w:t xml:space="preserve"> or their existing salary (up to the maximum scale point).  If the successful candidate is currently working at a salary below the minimum of the salary scale, then they will move onto the lowest scale point.</w:t>
            </w:r>
          </w:p>
          <w:p w14:paraId="1DB7216A" w14:textId="623EB860" w:rsidR="00F83066" w:rsidRPr="00A24499" w:rsidRDefault="00F83066" w:rsidP="00F946DC">
            <w:pPr>
              <w:jc w:val="both"/>
            </w:pPr>
            <w:r>
              <w:rPr>
                <w:lang w:val="en-US"/>
              </w:rPr>
              <w:t xml:space="preserve">The salary scale is: </w:t>
            </w:r>
            <w:r w:rsidRPr="00F83066">
              <w:rPr>
                <w:lang w:val="en-US"/>
              </w:rPr>
              <w:t>£47,304</w:t>
            </w:r>
            <w:r>
              <w:rPr>
                <w:lang w:val="en-US"/>
              </w:rPr>
              <w:t xml:space="preserve"> </w:t>
            </w:r>
            <w:r w:rsidRPr="00F83066">
              <w:rPr>
                <w:lang w:val="en-US"/>
              </w:rPr>
              <w:t>-</w:t>
            </w:r>
            <w:r>
              <w:rPr>
                <w:lang w:val="en-US"/>
              </w:rPr>
              <w:t xml:space="preserve"> </w:t>
            </w:r>
            <w:r w:rsidRPr="00F83066">
              <w:rPr>
                <w:lang w:val="en-US"/>
              </w:rPr>
              <w:t>£49,515</w:t>
            </w:r>
            <w:r>
              <w:rPr>
                <w:lang w:val="en-US"/>
              </w:rPr>
              <w:t xml:space="preserve"> per annum,</w:t>
            </w:r>
          </w:p>
          <w:p w14:paraId="63480ABD" w14:textId="77777777" w:rsidR="006C3B3A" w:rsidRPr="00A24499" w:rsidRDefault="006C3B3A">
            <w:pPr>
              <w:rPr>
                <w:lang w:val="en-US"/>
              </w:rPr>
            </w:pPr>
          </w:p>
          <w:p w14:paraId="5DD0D1B8" w14:textId="0CD2979D" w:rsidR="006C3B3A" w:rsidRPr="00A24499" w:rsidRDefault="006C3B3A">
            <w:pPr>
              <w:rPr>
                <w:lang w:val="en-US"/>
              </w:rPr>
            </w:pPr>
            <w:r w:rsidRPr="00A24499">
              <w:rPr>
                <w:b/>
                <w:lang w:val="en-US"/>
              </w:rPr>
              <w:t>Further information</w:t>
            </w:r>
            <w:r w:rsidRPr="00A24499">
              <w:rPr>
                <w:lang w:val="en-US"/>
              </w:rPr>
              <w:t>:</w:t>
            </w:r>
            <w:r w:rsidR="00F946DC" w:rsidRPr="00A24499">
              <w:rPr>
                <w:lang w:val="en-US"/>
              </w:rPr>
              <w:t xml:space="preserve"> SC </w:t>
            </w:r>
            <w:r w:rsidR="00A24499" w:rsidRPr="00A24499">
              <w:rPr>
                <w:lang w:val="en-US"/>
              </w:rPr>
              <w:t>security clearance</w:t>
            </w:r>
            <w:r w:rsidR="00F946DC" w:rsidRPr="00A24499">
              <w:rPr>
                <w:lang w:val="en-US"/>
              </w:rPr>
              <w:t xml:space="preserve"> is essential for this post (or a willingness to obtain).</w:t>
            </w:r>
          </w:p>
          <w:p w14:paraId="2F0A709D" w14:textId="77777777" w:rsidR="006C3B3A" w:rsidRPr="00A24499" w:rsidRDefault="006C3B3A">
            <w:pPr>
              <w:rPr>
                <w:lang w:val="en-US"/>
              </w:rPr>
            </w:pPr>
          </w:p>
          <w:p w14:paraId="3E8EF8AC" w14:textId="2ABF3045" w:rsidR="00BD431D" w:rsidRPr="00A24499" w:rsidRDefault="00BD431D" w:rsidP="00BD431D">
            <w:pPr>
              <w:rPr>
                <w:b/>
              </w:rPr>
            </w:pPr>
            <w:r w:rsidRPr="00A24499">
              <w:rPr>
                <w:b/>
              </w:rPr>
              <w:t xml:space="preserve">Closing Date: </w:t>
            </w:r>
            <w:r w:rsidRPr="00A24499">
              <w:t>Applications</w:t>
            </w:r>
            <w:r w:rsidR="00F83066">
              <w:t>*</w:t>
            </w:r>
            <w:r w:rsidRPr="00A24499">
              <w:t xml:space="preserve"> must be submitted by </w:t>
            </w:r>
            <w:r w:rsidR="00F83066">
              <w:t>Noon</w:t>
            </w:r>
            <w:r w:rsidRPr="00A24499">
              <w:t xml:space="preserve"> on Friday</w:t>
            </w:r>
            <w:r w:rsidR="00F83066">
              <w:t xml:space="preserve"> 31 July</w:t>
            </w:r>
            <w:r w:rsidRPr="00A24499">
              <w:t xml:space="preserve"> to</w:t>
            </w:r>
            <w:r w:rsidRPr="00A24499">
              <w:rPr>
                <w:b/>
              </w:rPr>
              <w:t xml:space="preserve">: </w:t>
            </w:r>
          </w:p>
          <w:p w14:paraId="137E5E7C" w14:textId="77777777" w:rsidR="00BD431D" w:rsidRPr="00F83066" w:rsidRDefault="00BD431D" w:rsidP="00BD431D">
            <w:pPr>
              <w:rPr>
                <w:b/>
                <w:sz w:val="28"/>
                <w:szCs w:val="28"/>
              </w:rPr>
            </w:pPr>
          </w:p>
          <w:p w14:paraId="71FB7962" w14:textId="03AB991E" w:rsidR="00BD431D" w:rsidRPr="00F83066" w:rsidRDefault="00BD431D" w:rsidP="00BD431D">
            <w:pPr>
              <w:rPr>
                <w:b/>
                <w:sz w:val="28"/>
                <w:szCs w:val="28"/>
                <w:lang w:val="en-US"/>
              </w:rPr>
            </w:pPr>
            <w:r w:rsidRPr="00F83066">
              <w:rPr>
                <w:b/>
                <w:sz w:val="28"/>
                <w:szCs w:val="28"/>
                <w:lang w:val="en-US"/>
              </w:rPr>
              <w:tab/>
            </w:r>
            <w:hyperlink r:id="rId10" w:history="1">
              <w:r w:rsidRPr="00F83066">
                <w:rPr>
                  <w:b/>
                  <w:color w:val="0563C1"/>
                  <w:sz w:val="28"/>
                  <w:szCs w:val="28"/>
                  <w:u w:val="single"/>
                  <w:lang w:val="en-US"/>
                </w:rPr>
                <w:t>interchangesecretariat@finance-ni.gov.uk</w:t>
              </w:r>
            </w:hyperlink>
            <w:r w:rsidRPr="00F83066">
              <w:rPr>
                <w:b/>
                <w:sz w:val="28"/>
                <w:szCs w:val="28"/>
                <w:lang w:val="en-US"/>
              </w:rPr>
              <w:t xml:space="preserve"> </w:t>
            </w:r>
          </w:p>
          <w:p w14:paraId="2586986A" w14:textId="77777777" w:rsidR="005246E1" w:rsidRDefault="005246E1">
            <w:pPr>
              <w:rPr>
                <w:lang w:val="en-US"/>
              </w:rPr>
            </w:pPr>
          </w:p>
          <w:p w14:paraId="576CA999" w14:textId="78FF609A" w:rsidR="00F83066" w:rsidRPr="00A24499" w:rsidRDefault="00F83066">
            <w:pPr>
              <w:rPr>
                <w:lang w:val="en-US"/>
              </w:rPr>
            </w:pPr>
            <w:r>
              <w:rPr>
                <w:lang w:val="en-US"/>
              </w:rPr>
              <w:t>*This opportunity is not open to current NI Civil Service departmental staff</w:t>
            </w:r>
          </w:p>
        </w:tc>
      </w:tr>
    </w:tbl>
    <w:p w14:paraId="3D1D617D" w14:textId="77777777" w:rsidR="002A0043" w:rsidRPr="00A24499" w:rsidRDefault="002A0043">
      <w:pPr>
        <w:rPr>
          <w:lang w:val="en-US"/>
        </w:rPr>
      </w:pPr>
    </w:p>
    <w:p w14:paraId="2B31DAA5" w14:textId="77777777" w:rsidR="002A0043" w:rsidRPr="00A24499" w:rsidRDefault="002A0043">
      <w:pPr>
        <w:rPr>
          <w:lang w:val="en-US"/>
        </w:rPr>
      </w:pPr>
    </w:p>
    <w:p w14:paraId="329DA470" w14:textId="77777777" w:rsidR="002A0043" w:rsidRPr="00A24499" w:rsidRDefault="002A0043">
      <w:pPr>
        <w:rPr>
          <w:b/>
          <w:bCs/>
          <w:lang w:val="en-US"/>
        </w:rPr>
      </w:pPr>
      <w:r w:rsidRPr="00A24499">
        <w:rPr>
          <w:b/>
          <w:bCs/>
          <w:lang w:val="en-US"/>
        </w:rPr>
        <w:t>7</w:t>
      </w:r>
      <w:proofErr w:type="gramStart"/>
      <w:r w:rsidRPr="00A24499">
        <w:rPr>
          <w:b/>
          <w:bCs/>
          <w:lang w:val="en-US"/>
        </w:rPr>
        <w:t>.  Endorsement</w:t>
      </w:r>
      <w:proofErr w:type="gramEnd"/>
    </w:p>
    <w:p w14:paraId="64BA34E0" w14:textId="77777777" w:rsidR="002A0043" w:rsidRPr="00A24499" w:rsidRDefault="002A0043">
      <w:pPr>
        <w:rPr>
          <w:b/>
          <w:bCs/>
          <w:lang w:val="en-US"/>
        </w:rPr>
      </w:pPr>
    </w:p>
    <w:p w14:paraId="568B6D8F" w14:textId="77777777" w:rsidR="002A0043" w:rsidRPr="00A24499" w:rsidRDefault="002A0043">
      <w:pPr>
        <w:rPr>
          <w:b/>
          <w:bCs/>
          <w:lang w:val="en-US"/>
        </w:rPr>
      </w:pPr>
      <w:r w:rsidRPr="00A24499">
        <w:rPr>
          <w:b/>
          <w:bCs/>
          <w:lang w:val="en-US"/>
        </w:rPr>
        <w:t xml:space="preserve">     Interchange Manager</w:t>
      </w:r>
    </w:p>
    <w:p w14:paraId="3DF6EE47" w14:textId="77777777" w:rsidR="009D4397" w:rsidRPr="00A24499" w:rsidRDefault="009D4397">
      <w:pPr>
        <w:rPr>
          <w:b/>
          <w:bCs/>
          <w:lang w:val="en-US"/>
        </w:rPr>
      </w:pPr>
    </w:p>
    <w:tbl>
      <w:tblPr>
        <w:tblpPr w:leftFromText="180" w:rightFromText="180" w:vertAnchor="text" w:horzAnchor="page" w:tblpX="4009" w:tblpY="-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tblGrid>
      <w:tr w:rsidR="009D4397" w:rsidRPr="00A24499" w14:paraId="72D8A1CB" w14:textId="77777777" w:rsidTr="00990432">
        <w:trPr>
          <w:trHeight w:val="554"/>
        </w:trPr>
        <w:tc>
          <w:tcPr>
            <w:tcW w:w="5070" w:type="dxa"/>
          </w:tcPr>
          <w:p w14:paraId="451FDFC7" w14:textId="0995DB4B" w:rsidR="00545238" w:rsidRPr="00F83066" w:rsidRDefault="00F83066" w:rsidP="00990432">
            <w:pPr>
              <w:rPr>
                <w:rFonts w:ascii="Segoe Script" w:hAnsi="Segoe Script"/>
                <w:b/>
                <w:bCs/>
                <w:sz w:val="28"/>
                <w:szCs w:val="28"/>
                <w:lang w:val="en-US"/>
              </w:rPr>
            </w:pPr>
            <w:r w:rsidRPr="00F83066">
              <w:rPr>
                <w:rFonts w:ascii="Segoe Script" w:hAnsi="Segoe Script"/>
                <w:b/>
                <w:bCs/>
                <w:sz w:val="28"/>
                <w:szCs w:val="28"/>
                <w:lang w:val="en-US"/>
              </w:rPr>
              <w:t>Debbie Corry</w:t>
            </w:r>
          </w:p>
        </w:tc>
      </w:tr>
    </w:tbl>
    <w:p w14:paraId="7BC3D40A" w14:textId="77777777" w:rsidR="009D4397" w:rsidRPr="00A24499" w:rsidRDefault="009D4397" w:rsidP="009D4397">
      <w:pPr>
        <w:ind w:firstLine="720"/>
        <w:rPr>
          <w:b/>
          <w:bCs/>
          <w:lang w:val="en-US"/>
        </w:rPr>
      </w:pPr>
      <w:r w:rsidRPr="00A24499">
        <w:rPr>
          <w:b/>
          <w:bCs/>
          <w:lang w:val="en-US"/>
        </w:rPr>
        <w:t>Signed:</w:t>
      </w:r>
    </w:p>
    <w:p w14:paraId="22AA8809" w14:textId="77777777" w:rsidR="00545238" w:rsidRPr="00A24499" w:rsidRDefault="00545238">
      <w:pPr>
        <w:rPr>
          <w:b/>
          <w:bCs/>
          <w:lang w:val="en-US"/>
        </w:rPr>
      </w:pPr>
    </w:p>
    <w:p w14:paraId="03317340" w14:textId="77777777" w:rsidR="00545238" w:rsidRPr="00A24499" w:rsidRDefault="00545238">
      <w:pPr>
        <w:rPr>
          <w:b/>
          <w:bCs/>
          <w:lang w:val="en-US"/>
        </w:rPr>
      </w:pPr>
    </w:p>
    <w:tbl>
      <w:tblPr>
        <w:tblpPr w:leftFromText="180" w:rightFromText="180" w:vertAnchor="text" w:horzAnchor="page" w:tblpX="4067" w:tblpY="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3"/>
      </w:tblGrid>
      <w:tr w:rsidR="00545238" w:rsidRPr="00A24499" w14:paraId="12DAF408" w14:textId="77777777" w:rsidTr="00990432">
        <w:trPr>
          <w:trHeight w:val="553"/>
        </w:trPr>
        <w:tc>
          <w:tcPr>
            <w:tcW w:w="4853" w:type="dxa"/>
          </w:tcPr>
          <w:p w14:paraId="1B1F17A6" w14:textId="6BEAD63B" w:rsidR="00545238" w:rsidRPr="00A24499" w:rsidRDefault="00F83066" w:rsidP="00990432">
            <w:pPr>
              <w:rPr>
                <w:b/>
                <w:bCs/>
                <w:lang w:val="en-US"/>
              </w:rPr>
            </w:pPr>
            <w:r>
              <w:rPr>
                <w:b/>
                <w:bCs/>
                <w:lang w:val="en-US"/>
              </w:rPr>
              <w:t>01 July 2026</w:t>
            </w:r>
          </w:p>
        </w:tc>
      </w:tr>
    </w:tbl>
    <w:p w14:paraId="74D08E46" w14:textId="77777777" w:rsidR="00545238" w:rsidRPr="00A24499" w:rsidRDefault="00545238" w:rsidP="00545238">
      <w:pPr>
        <w:ind w:left="720"/>
        <w:rPr>
          <w:b/>
          <w:bCs/>
          <w:lang w:val="en-US"/>
        </w:rPr>
      </w:pPr>
      <w:r w:rsidRPr="00A24499">
        <w:rPr>
          <w:b/>
          <w:bCs/>
          <w:lang w:val="en-US"/>
        </w:rPr>
        <w:t>Date:</w:t>
      </w:r>
      <w:r w:rsidRPr="00A24499">
        <w:rPr>
          <w:b/>
          <w:bCs/>
          <w:lang w:val="en-US"/>
        </w:rPr>
        <w:tab/>
      </w:r>
      <w:r w:rsidRPr="00A24499">
        <w:rPr>
          <w:b/>
          <w:bCs/>
          <w:lang w:val="en-US"/>
        </w:rPr>
        <w:tab/>
      </w:r>
    </w:p>
    <w:p w14:paraId="7FEF1C8B" w14:textId="77777777" w:rsidR="002A0043" w:rsidRPr="00A24499" w:rsidRDefault="002A0043">
      <w:pPr>
        <w:rPr>
          <w:b/>
          <w:bCs/>
          <w:lang w:val="en-US"/>
        </w:rPr>
      </w:pPr>
    </w:p>
    <w:sectPr w:rsidR="002A0043" w:rsidRPr="00A24499">
      <w:headerReference w:type="default" r:id="rId11"/>
      <w:footerReference w:type="even" r:id="rId12"/>
      <w:footerReference w:type="defaul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95ADB" w14:textId="77777777" w:rsidR="00BA0279" w:rsidRDefault="00BA0279">
      <w:r>
        <w:separator/>
      </w:r>
    </w:p>
  </w:endnote>
  <w:endnote w:type="continuationSeparator" w:id="0">
    <w:p w14:paraId="1129496C" w14:textId="77777777" w:rsidR="00BA0279" w:rsidRDefault="00BA0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ush Script">
    <w:altName w:val="Pristina"/>
    <w:charset w:val="00"/>
    <w:family w:val="script"/>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Script">
    <w:panose1 w:val="030B0504020000000003"/>
    <w:charset w:val="00"/>
    <w:family w:val="script"/>
    <w:pitch w:val="variable"/>
    <w:sig w:usb0="0000028F"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780E7" w14:textId="77777777" w:rsidR="002A0043" w:rsidRDefault="002A004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3C8FBF4" w14:textId="77777777" w:rsidR="002A0043" w:rsidRDefault="002A00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E7813" w14:textId="77777777" w:rsidR="000B0FFD" w:rsidRDefault="000B0FFD">
    <w:pPr>
      <w:pStyle w:val="Footer"/>
    </w:pPr>
    <w:r>
      <w:t>Revised 20</w:t>
    </w:r>
    <w:r w:rsidR="00267C0A">
      <w:t>20</w:t>
    </w:r>
  </w:p>
  <w:p w14:paraId="10412DD3" w14:textId="77777777" w:rsidR="002A0043" w:rsidRDefault="002A00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11242" w14:textId="77777777" w:rsidR="00BA0279" w:rsidRDefault="00BA0279">
      <w:r>
        <w:separator/>
      </w:r>
    </w:p>
  </w:footnote>
  <w:footnote w:type="continuationSeparator" w:id="0">
    <w:p w14:paraId="14F22072" w14:textId="77777777" w:rsidR="00BA0279" w:rsidRDefault="00BA02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CCA72" w14:textId="77777777" w:rsidR="00F43742" w:rsidRPr="00F43742" w:rsidRDefault="002A0043" w:rsidP="00F43742">
    <w:pPr>
      <w:pStyle w:val="Subtitle"/>
      <w:rPr>
        <w:sz w:val="32"/>
        <w:szCs w:val="32"/>
      </w:rPr>
    </w:pPr>
    <w:r w:rsidRPr="00F43742">
      <w:rPr>
        <w:sz w:val="32"/>
        <w:szCs w:val="32"/>
      </w:rPr>
      <w:tab/>
    </w:r>
    <w:r w:rsidR="00F43742" w:rsidRPr="00F43742">
      <w:rPr>
        <w:sz w:val="32"/>
        <w:szCs w:val="32"/>
      </w:rPr>
      <w:t>NI INTERCHANGE SCHEME</w:t>
    </w:r>
  </w:p>
  <w:p w14:paraId="3A2F63C3" w14:textId="0B821D5F" w:rsidR="002A0043" w:rsidRDefault="002A0043">
    <w:pPr>
      <w:pStyle w:val="Header"/>
    </w:pPr>
    <w:r>
      <w:tab/>
      <w:t>Ref: I/C</w:t>
    </w:r>
    <w:r w:rsidR="00EA59C8">
      <w:t xml:space="preserve"> </w:t>
    </w:r>
    <w:r w:rsidR="00EA215A">
      <w:t>28/26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A63EC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E2D0685"/>
    <w:multiLevelType w:val="hybridMultilevel"/>
    <w:tmpl w:val="B75AAF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3445BAB"/>
    <w:multiLevelType w:val="hybridMultilevel"/>
    <w:tmpl w:val="01683E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4A959B0"/>
    <w:multiLevelType w:val="hybridMultilevel"/>
    <w:tmpl w:val="22522E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09568916">
    <w:abstractNumId w:val="3"/>
  </w:num>
  <w:num w:numId="2" w16cid:durableId="1483349978">
    <w:abstractNumId w:val="2"/>
  </w:num>
  <w:num w:numId="3" w16cid:durableId="706030169">
    <w:abstractNumId w:val="1"/>
  </w:num>
  <w:num w:numId="4" w16cid:durableId="18129387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A0043"/>
    <w:rsid w:val="00084BC9"/>
    <w:rsid w:val="00093953"/>
    <w:rsid w:val="00095D85"/>
    <w:rsid w:val="000B0FFD"/>
    <w:rsid w:val="000D4E6B"/>
    <w:rsid w:val="000D75AE"/>
    <w:rsid w:val="001A2BBB"/>
    <w:rsid w:val="001E2F2A"/>
    <w:rsid w:val="00224572"/>
    <w:rsid w:val="002665FD"/>
    <w:rsid w:val="00267C0A"/>
    <w:rsid w:val="002A0043"/>
    <w:rsid w:val="002D64EC"/>
    <w:rsid w:val="003031B1"/>
    <w:rsid w:val="003703A5"/>
    <w:rsid w:val="003735E0"/>
    <w:rsid w:val="00380B2C"/>
    <w:rsid w:val="003A37AC"/>
    <w:rsid w:val="00437CCD"/>
    <w:rsid w:val="004C6545"/>
    <w:rsid w:val="005246E1"/>
    <w:rsid w:val="005319B5"/>
    <w:rsid w:val="00545238"/>
    <w:rsid w:val="005826F7"/>
    <w:rsid w:val="005850C9"/>
    <w:rsid w:val="005B1766"/>
    <w:rsid w:val="00607504"/>
    <w:rsid w:val="006C3B3A"/>
    <w:rsid w:val="006C40D4"/>
    <w:rsid w:val="006D7267"/>
    <w:rsid w:val="006E5263"/>
    <w:rsid w:val="006E5D81"/>
    <w:rsid w:val="00735393"/>
    <w:rsid w:val="007B22FB"/>
    <w:rsid w:val="007F27EB"/>
    <w:rsid w:val="008F710C"/>
    <w:rsid w:val="00990432"/>
    <w:rsid w:val="009D4397"/>
    <w:rsid w:val="00A24499"/>
    <w:rsid w:val="00A362A7"/>
    <w:rsid w:val="00A77C6A"/>
    <w:rsid w:val="00B30A97"/>
    <w:rsid w:val="00B557A7"/>
    <w:rsid w:val="00BA0279"/>
    <w:rsid w:val="00BA0B4C"/>
    <w:rsid w:val="00BB7E71"/>
    <w:rsid w:val="00BD431D"/>
    <w:rsid w:val="00BE0687"/>
    <w:rsid w:val="00C03DE4"/>
    <w:rsid w:val="00C25A81"/>
    <w:rsid w:val="00C7146C"/>
    <w:rsid w:val="00CB0378"/>
    <w:rsid w:val="00D52251"/>
    <w:rsid w:val="00E0737F"/>
    <w:rsid w:val="00E15672"/>
    <w:rsid w:val="00E472AF"/>
    <w:rsid w:val="00EA215A"/>
    <w:rsid w:val="00EA59C8"/>
    <w:rsid w:val="00EB49E6"/>
    <w:rsid w:val="00F30168"/>
    <w:rsid w:val="00F43742"/>
    <w:rsid w:val="00F83066"/>
    <w:rsid w:val="00F946DC"/>
    <w:rsid w:val="00FC5D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3"/>
    <o:shapelayout v:ext="edit">
      <o:idmap v:ext="edit" data="1"/>
    </o:shapelayout>
  </w:shapeDefaults>
  <w:decimalSymbol w:val="."/>
  <w:listSeparator w:val=","/>
  <w14:docId w14:val="12F43BDF"/>
  <w15:chartTrackingRefBased/>
  <w15:docId w15:val="{80E8BFDA-1386-4A70-866B-B9873F4B9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List Bullet"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b/>
      <w:bCs/>
    </w:rPr>
  </w:style>
  <w:style w:type="paragraph" w:styleId="Heading4">
    <w:name w:val="heading 4"/>
    <w:basedOn w:val="Normal"/>
    <w:next w:val="Normal"/>
    <w:qFormat/>
    <w:pPr>
      <w:keepNext/>
      <w:outlineLvl w:val="3"/>
    </w:pPr>
    <w:rPr>
      <w:rFonts w:ascii="Brush Script" w:hAnsi="Brush Script"/>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32"/>
    </w:rPr>
  </w:style>
  <w:style w:type="paragraph" w:styleId="Subtitle">
    <w:name w:val="Subtitle"/>
    <w:basedOn w:val="Normal"/>
    <w:qFormat/>
    <w:pPr>
      <w:jc w:val="center"/>
    </w:pPr>
    <w:rPr>
      <w:b/>
      <w:bC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customStyle="1" w:styleId="OmniPage1">
    <w:name w:val="OmniPage #1"/>
    <w:basedOn w:val="Normal"/>
    <w:pPr>
      <w:spacing w:line="80" w:lineRule="exact"/>
    </w:pPr>
    <w:rPr>
      <w:sz w:val="20"/>
      <w:szCs w:val="20"/>
      <w:lang w:val="en-US"/>
    </w:rPr>
  </w:style>
  <w:style w:type="paragraph" w:styleId="Header">
    <w:name w:val="header"/>
    <w:basedOn w:val="Normal"/>
    <w:pPr>
      <w:tabs>
        <w:tab w:val="center" w:pos="4153"/>
        <w:tab w:val="right" w:pos="8306"/>
      </w:tabs>
    </w:pPr>
  </w:style>
  <w:style w:type="table" w:styleId="TableGrid">
    <w:name w:val="Table Grid"/>
    <w:basedOn w:val="TableNormal"/>
    <w:rsid w:val="000939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0B0FFD"/>
    <w:rPr>
      <w:sz w:val="24"/>
      <w:szCs w:val="24"/>
      <w:lang w:eastAsia="en-US"/>
    </w:rPr>
  </w:style>
  <w:style w:type="paragraph" w:styleId="ListBullet">
    <w:name w:val="List Bullet"/>
    <w:basedOn w:val="Normal"/>
    <w:uiPriority w:val="99"/>
    <w:unhideWhenUsed/>
    <w:rsid w:val="007F27EB"/>
    <w:pPr>
      <w:numPr>
        <w:numId w:val="4"/>
      </w:numPr>
      <w:tabs>
        <w:tab w:val="clear" w:pos="360"/>
      </w:tabs>
      <w:spacing w:after="200" w:line="276" w:lineRule="auto"/>
      <w:ind w:left="0" w:firstLine="0"/>
      <w:contextualSpacing/>
    </w:pPr>
    <w:rPr>
      <w:rFonts w:ascii="Aptos" w:hAnsi="Aptos"/>
      <w:sz w:val="22"/>
      <w:szCs w:val="22"/>
      <w:lang w:val="en-US"/>
    </w:rPr>
  </w:style>
  <w:style w:type="character" w:styleId="Hyperlink">
    <w:name w:val="Hyperlink"/>
    <w:basedOn w:val="DefaultParagraphFont"/>
    <w:rsid w:val="00607504"/>
    <w:rPr>
      <w:color w:val="467886" w:themeColor="hyperlink"/>
      <w:u w:val="single"/>
    </w:rPr>
  </w:style>
  <w:style w:type="character" w:styleId="UnresolvedMention">
    <w:name w:val="Unresolved Mention"/>
    <w:basedOn w:val="DefaultParagraphFont"/>
    <w:uiPriority w:val="99"/>
    <w:semiHidden/>
    <w:unhideWhenUsed/>
    <w:rsid w:val="006075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ebbie.Corry@justice-ni.gov.u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terchangesecretariat@finance-ni.gov.uk" TargetMode="External"/><Relationship Id="rId4" Type="http://schemas.openxmlformats.org/officeDocument/2006/relationships/settings" Target="settings.xml"/><Relationship Id="rId9" Type="http://schemas.openxmlformats.org/officeDocument/2006/relationships/hyperlink" Target="mailto:Matthew.Bunting@justice-ni.gov.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2F8D8E-4C01-4793-8791-7C2D0EEDE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1176</Words>
  <Characters>7105</Characters>
  <Application>Microsoft Office Word</Application>
  <DocSecurity>0</DocSecurity>
  <Lines>215</Lines>
  <Paragraphs>74</Paragraphs>
  <ScaleCrop>false</ScaleCrop>
  <HeadingPairs>
    <vt:vector size="2" baseType="variant">
      <vt:variant>
        <vt:lpstr>Title</vt:lpstr>
      </vt:variant>
      <vt:variant>
        <vt:i4>1</vt:i4>
      </vt:variant>
    </vt:vector>
  </HeadingPairs>
  <TitlesOfParts>
    <vt:vector size="1" baseType="lpstr">
      <vt:lpstr>Central Personnel Group</vt:lpstr>
    </vt:vector>
  </TitlesOfParts>
  <Company>Dept. of Finance &amp; Personnel</Company>
  <LinksUpToDate>false</LinksUpToDate>
  <CharactersWithSpaces>8488</CharactersWithSpaces>
  <SharedDoc>false</SharedDoc>
  <HLinks>
    <vt:vector size="12" baseType="variant">
      <vt:variant>
        <vt:i4>1376303</vt:i4>
      </vt:variant>
      <vt:variant>
        <vt:i4>3</vt:i4>
      </vt:variant>
      <vt:variant>
        <vt:i4>0</vt:i4>
      </vt:variant>
      <vt:variant>
        <vt:i4>5</vt:i4>
      </vt:variant>
      <vt:variant>
        <vt:lpwstr>mailto:interchangesecretariat@finance-ni.gov.uk</vt:lpwstr>
      </vt:variant>
      <vt:variant>
        <vt:lpwstr/>
      </vt:variant>
      <vt:variant>
        <vt:i4>8192006</vt:i4>
      </vt:variant>
      <vt:variant>
        <vt:i4>0</vt:i4>
      </vt:variant>
      <vt:variant>
        <vt:i4>0</vt:i4>
      </vt:variant>
      <vt:variant>
        <vt:i4>5</vt:i4>
      </vt:variant>
      <vt:variant>
        <vt:lpwstr>mailto:secondments@hrconnect.nigov.net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Central Personnel Group</dc:title>
  <dc:subject>Interchange - Hosting Proforma</dc:subject>
  <dc:creator>scottju</dc:creator>
  <cp:keywords/>
  <dc:description/>
  <cp:lastModifiedBy>McKinney, Paul</cp:lastModifiedBy>
  <cp:revision>2</cp:revision>
  <cp:lastPrinted>2005-06-27T10:28:00Z</cp:lastPrinted>
  <dcterms:created xsi:type="dcterms:W3CDTF">2026-06-25T14:19:00Z</dcterms:created>
  <dcterms:modified xsi:type="dcterms:W3CDTF">2026-06-25T14:19:00Z</dcterms:modified>
</cp:coreProperties>
</file>