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w:t>
      </w:r>
      <w:r w:rsidR="006C5EE5">
        <w:t xml:space="preserve"> INTERCHANGE SCHEME</w:t>
      </w:r>
    </w:p>
    <w:p w:rsidR="002A0043" w:rsidRDefault="002A0043">
      <w:pPr>
        <w:jc w:val="center"/>
        <w:rPr>
          <w:b/>
          <w:bCs/>
          <w:sz w:val="32"/>
        </w:rPr>
      </w:pP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6D261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406AEF" w:rsidRDefault="00B71AF0">
                  <w:pPr>
                    <w:rPr>
                      <w:rFonts w:ascii="Arial" w:hAnsi="Arial" w:cs="Arial"/>
                      <w:sz w:val="20"/>
                      <w:szCs w:val="20"/>
                    </w:rPr>
                  </w:pPr>
                  <w:r w:rsidRPr="00406AEF">
                    <w:rPr>
                      <w:rFonts w:ascii="Arial" w:hAnsi="Arial" w:cs="Arial"/>
                      <w:sz w:val="20"/>
                      <w:szCs w:val="20"/>
                    </w:rPr>
                    <w:t xml:space="preserve">Forensic Services Leadership Board – </w:t>
                  </w:r>
                  <w:proofErr w:type="spellStart"/>
                  <w:r w:rsidRPr="00406AEF">
                    <w:rPr>
                      <w:rFonts w:ascii="Arial" w:hAnsi="Arial" w:cs="Arial"/>
                      <w:sz w:val="20"/>
                      <w:szCs w:val="20"/>
                    </w:rPr>
                    <w:t>Dept</w:t>
                  </w:r>
                  <w:proofErr w:type="spellEnd"/>
                  <w:r w:rsidRPr="00406AEF">
                    <w:rPr>
                      <w:rFonts w:ascii="Arial" w:hAnsi="Arial" w:cs="Arial"/>
                      <w:sz w:val="20"/>
                      <w:szCs w:val="20"/>
                    </w:rPr>
                    <w:t xml:space="preserve"> of Justice</w:t>
                  </w:r>
                </w:p>
                <w:p w:rsidR="002A0043" w:rsidRPr="00406AEF" w:rsidRDefault="002A0043">
                  <w:pPr>
                    <w:pStyle w:val="OmniPage1"/>
                    <w:spacing w:line="240" w:lineRule="auto"/>
                    <w:rPr>
                      <w:rFonts w:ascii="Arial" w:hAnsi="Arial" w:cs="Arial"/>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6D2617">
      <w:pPr>
        <w:rPr>
          <w:b/>
          <w:bCs/>
        </w:rPr>
      </w:pPr>
      <w:r>
        <w:rPr>
          <w:b/>
          <w:bCs/>
          <w:noProof/>
          <w:sz w:val="20"/>
          <w:lang w:val="en-US"/>
        </w:rPr>
        <w:pict>
          <v:shape id="_x0000_s1027" type="#_x0000_t202" style="position:absolute;margin-left:90pt;margin-top:5.8pt;width:4in;height:27pt;z-index:251650560">
            <v:textbox>
              <w:txbxContent>
                <w:p w:rsidR="002A0043" w:rsidRPr="00406AEF" w:rsidRDefault="00B71AF0">
                  <w:pPr>
                    <w:rPr>
                      <w:rFonts w:ascii="Arial" w:hAnsi="Arial" w:cs="Arial"/>
                      <w:sz w:val="20"/>
                      <w:szCs w:val="20"/>
                    </w:rPr>
                  </w:pPr>
                  <w:r w:rsidRPr="00406AEF">
                    <w:rPr>
                      <w:rFonts w:ascii="Arial" w:hAnsi="Arial" w:cs="Arial"/>
                      <w:sz w:val="20"/>
                      <w:szCs w:val="20"/>
                    </w:rPr>
                    <w:t xml:space="preserve">Peter </w:t>
                  </w:r>
                  <w:proofErr w:type="spellStart"/>
                  <w:r w:rsidRPr="00406AEF">
                    <w:rPr>
                      <w:rFonts w:ascii="Arial" w:hAnsi="Arial" w:cs="Arial"/>
                      <w:sz w:val="20"/>
                      <w:szCs w:val="20"/>
                    </w:rPr>
                    <w:t>Gilleece</w:t>
                  </w:r>
                  <w:proofErr w:type="spellEnd"/>
                </w:p>
              </w:txbxContent>
            </v:textbox>
          </v:shape>
        </w:pict>
      </w:r>
    </w:p>
    <w:p w:rsidR="002A0043" w:rsidRDefault="002A0043">
      <w:r>
        <w:t xml:space="preserve">             Name</w:t>
      </w:r>
    </w:p>
    <w:p w:rsidR="002A0043" w:rsidRDefault="002A0043"/>
    <w:p w:rsidR="002A0043" w:rsidRDefault="006D2617">
      <w:r>
        <w:rPr>
          <w:noProof/>
          <w:sz w:val="20"/>
          <w:lang w:val="en-US"/>
        </w:rPr>
        <w:pict>
          <v:shape id="_x0000_s1028" type="#_x0000_t202" style="position:absolute;margin-left:90pt;margin-top:.4pt;width:324pt;height:27pt;z-index:251651584">
            <v:textbox>
              <w:txbxContent>
                <w:p w:rsidR="002A0043" w:rsidRPr="00406AEF" w:rsidRDefault="00B71AF0">
                  <w:pPr>
                    <w:rPr>
                      <w:rFonts w:ascii="Arial" w:hAnsi="Arial" w:cs="Arial"/>
                      <w:sz w:val="20"/>
                      <w:szCs w:val="20"/>
                    </w:rPr>
                  </w:pPr>
                  <w:proofErr w:type="spellStart"/>
                  <w:r w:rsidRPr="00406AEF">
                    <w:rPr>
                      <w:rFonts w:ascii="Arial" w:hAnsi="Arial" w:cs="Arial"/>
                      <w:sz w:val="20"/>
                      <w:szCs w:val="20"/>
                    </w:rPr>
                    <w:t>Dept</w:t>
                  </w:r>
                  <w:proofErr w:type="spellEnd"/>
                  <w:r w:rsidRPr="00406AEF">
                    <w:rPr>
                      <w:rFonts w:ascii="Arial" w:hAnsi="Arial" w:cs="Arial"/>
                      <w:sz w:val="20"/>
                      <w:szCs w:val="20"/>
                    </w:rPr>
                    <w:t xml:space="preserve"> of Justice</w:t>
                  </w:r>
                </w:p>
              </w:txbxContent>
            </v:textbox>
          </v:shape>
        </w:pict>
      </w:r>
      <w:r w:rsidR="002A0043">
        <w:t xml:space="preserve">     Organisation/</w:t>
      </w:r>
    </w:p>
    <w:p w:rsidR="002A0043" w:rsidRDefault="002A0043">
      <w:r>
        <w:t xml:space="preserve">        Department</w:t>
      </w:r>
    </w:p>
    <w:p w:rsidR="002A0043" w:rsidRDefault="006D2617">
      <w:r>
        <w:rPr>
          <w:noProof/>
          <w:sz w:val="20"/>
          <w:lang w:val="en-US"/>
        </w:rPr>
        <w:pict>
          <v:shape id="_x0000_s1029" type="#_x0000_t202" style="position:absolute;margin-left:90pt;margin-top:8.8pt;width:324pt;height:1in;z-index:251652608">
            <v:textbox>
              <w:txbxContent>
                <w:p w:rsidR="002A0043" w:rsidRPr="00FD5571" w:rsidRDefault="00FD5571">
                  <w:pPr>
                    <w:rPr>
                      <w:rFonts w:ascii="Tahoma" w:hAnsi="Tahoma" w:cs="Tahoma"/>
                      <w:sz w:val="20"/>
                      <w:szCs w:val="20"/>
                    </w:rPr>
                  </w:pPr>
                  <w:r w:rsidRPr="00FD5571">
                    <w:rPr>
                      <w:rFonts w:ascii="Tahoma" w:hAnsi="Tahoma" w:cs="Tahoma"/>
                      <w:sz w:val="20"/>
                      <w:szCs w:val="20"/>
                    </w:rPr>
                    <w:t>C/O Strategic Investment Board</w:t>
                  </w:r>
                </w:p>
                <w:p w:rsidR="00FD5571" w:rsidRPr="00FD5571" w:rsidRDefault="00FD5571">
                  <w:pPr>
                    <w:rPr>
                      <w:rFonts w:ascii="Tahoma" w:hAnsi="Tahoma" w:cs="Tahoma"/>
                      <w:sz w:val="20"/>
                      <w:szCs w:val="20"/>
                    </w:rPr>
                  </w:pPr>
                  <w:r w:rsidRPr="00FD5571">
                    <w:rPr>
                      <w:rFonts w:ascii="Tahoma" w:hAnsi="Tahoma" w:cs="Tahoma"/>
                      <w:sz w:val="20"/>
                      <w:szCs w:val="20"/>
                    </w:rPr>
                    <w:t>Northland House</w:t>
                  </w:r>
                </w:p>
                <w:p w:rsidR="00FD5571" w:rsidRPr="00FD5571" w:rsidRDefault="00FD5571">
                  <w:pPr>
                    <w:rPr>
                      <w:rFonts w:ascii="Tahoma" w:hAnsi="Tahoma" w:cs="Tahoma"/>
                      <w:sz w:val="20"/>
                      <w:szCs w:val="20"/>
                    </w:rPr>
                  </w:pPr>
                  <w:r w:rsidRPr="00FD5571">
                    <w:rPr>
                      <w:rFonts w:ascii="Tahoma" w:hAnsi="Tahoma" w:cs="Tahoma"/>
                      <w:sz w:val="20"/>
                      <w:szCs w:val="20"/>
                    </w:rPr>
                    <w:t>3 – 5A Frederick Street</w:t>
                  </w:r>
                </w:p>
                <w:p w:rsidR="00FD5571" w:rsidRPr="00FD5571" w:rsidRDefault="00FD5571">
                  <w:pPr>
                    <w:rPr>
                      <w:rFonts w:ascii="Tahoma" w:hAnsi="Tahoma" w:cs="Tahoma"/>
                      <w:sz w:val="20"/>
                      <w:szCs w:val="20"/>
                    </w:rPr>
                  </w:pPr>
                  <w:r w:rsidRPr="00FD5571">
                    <w:rPr>
                      <w:rFonts w:ascii="Tahoma" w:hAnsi="Tahoma" w:cs="Tahoma"/>
                      <w:sz w:val="20"/>
                      <w:szCs w:val="20"/>
                    </w:rPr>
                    <w:t>Belfast</w:t>
                  </w:r>
                </w:p>
                <w:p w:rsidR="00FD5571" w:rsidRPr="00FD5571" w:rsidRDefault="00FD5571">
                  <w:pPr>
                    <w:rPr>
                      <w:rFonts w:ascii="Tahoma" w:hAnsi="Tahoma" w:cs="Tahoma"/>
                      <w:sz w:val="20"/>
                      <w:szCs w:val="20"/>
                    </w:rPr>
                  </w:pPr>
                  <w:r w:rsidRPr="00FD5571">
                    <w:rPr>
                      <w:rFonts w:ascii="Tahoma" w:hAnsi="Tahoma" w:cs="Tahoma"/>
                      <w:sz w:val="20"/>
                      <w:szCs w:val="20"/>
                    </w:rPr>
                    <w:t>BT1 2NH</w:t>
                  </w:r>
                </w:p>
                <w:p w:rsidR="00FD5571" w:rsidRDefault="00FD5571">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6D2617">
      <w:r>
        <w:rPr>
          <w:noProof/>
          <w:sz w:val="20"/>
          <w:lang w:val="en-US"/>
        </w:rPr>
        <w:pict>
          <v:shape id="_x0000_s1031" type="#_x0000_t202" style="position:absolute;margin-left:279pt;margin-top:2.25pt;width:135pt;height:18pt;z-index:251654656">
            <v:textbox>
              <w:txbxContent>
                <w:p w:rsidR="002A0043" w:rsidRDefault="002A0043"/>
              </w:txbxContent>
            </v:textbox>
          </v:shape>
        </w:pict>
      </w:r>
      <w:r>
        <w:rPr>
          <w:noProof/>
          <w:sz w:val="20"/>
          <w:lang w:val="en-US"/>
        </w:rPr>
        <w:pict>
          <v:shape id="_x0000_s1030" type="#_x0000_t202" style="position:absolute;margin-left:90pt;margin-top:2.25pt;width:126pt;height:18pt;z-index:251653632">
            <v:textbox>
              <w:txbxContent>
                <w:p w:rsidR="002A0043" w:rsidRDefault="002A0043"/>
                <w:p w:rsidR="002A0043" w:rsidRDefault="002A0043"/>
              </w:txbxContent>
            </v:textbox>
          </v:shape>
        </w:pict>
      </w:r>
      <w:r w:rsidR="002A0043">
        <w:t xml:space="preserve">         Telephone                                               Fax number</w:t>
      </w:r>
    </w:p>
    <w:p w:rsidR="002A0043" w:rsidRDefault="002A0043">
      <w:r>
        <w:t xml:space="preserve">             Number</w:t>
      </w:r>
    </w:p>
    <w:p w:rsidR="002A0043" w:rsidRDefault="006D2617">
      <w:r>
        <w:rPr>
          <w:noProof/>
          <w:sz w:val="20"/>
          <w:lang w:val="en-US"/>
        </w:rPr>
        <w:pict>
          <v:shape id="_x0000_s1032" type="#_x0000_t202" style="position:absolute;margin-left:90pt;margin-top:10.65pt;width:234pt;height:27pt;z-index:251655680">
            <v:textbox>
              <w:txbxContent>
                <w:p w:rsidR="002A0043" w:rsidRPr="00FD5571" w:rsidRDefault="00FD5571">
                  <w:pPr>
                    <w:rPr>
                      <w:rFonts w:ascii="Arial" w:hAnsi="Arial" w:cs="Arial"/>
                      <w:sz w:val="20"/>
                      <w:szCs w:val="20"/>
                    </w:rPr>
                  </w:pPr>
                  <w:r w:rsidRPr="00FD5571">
                    <w:rPr>
                      <w:rFonts w:ascii="Arial" w:hAnsi="Arial" w:cs="Arial"/>
                      <w:sz w:val="20"/>
                      <w:szCs w:val="20"/>
                    </w:rPr>
                    <w:t>peter.gilleece@executiveoffice-ni.gsi.gov.uk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6D2617">
      <w:r>
        <w:rPr>
          <w:noProof/>
          <w:sz w:val="20"/>
          <w:lang w:val="en-US"/>
        </w:rPr>
        <w:pict>
          <v:shape id="_x0000_s1042" type="#_x0000_t202" style="position:absolute;margin-left:115.2pt;margin-top:4.05pt;width:270pt;height:55.8pt;z-index:251665920">
            <v:textbox>
              <w:txbxContent>
                <w:p w:rsidR="002A0043" w:rsidRDefault="009220B2">
                  <w:r>
                    <w:t>Secondment – 2 Years</w:t>
                  </w:r>
                </w:p>
                <w:p w:rsidR="009220B2" w:rsidRDefault="009220B2">
                  <w:pPr>
                    <w:rPr>
                      <w:b/>
                    </w:rPr>
                  </w:pPr>
                </w:p>
                <w:p w:rsidR="009220B2" w:rsidRPr="009220B2" w:rsidRDefault="009220B2">
                  <w:pPr>
                    <w:rPr>
                      <w:b/>
                    </w:rPr>
                  </w:pPr>
                  <w:r w:rsidRPr="009220B2">
                    <w:rPr>
                      <w:b/>
                    </w:rPr>
                    <w:t>Project Coordinator</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6C5EE5" w:rsidRDefault="006C5EE5">
      <w:pPr>
        <w:rPr>
          <w:b/>
          <w:bCs/>
        </w:rPr>
      </w:pPr>
    </w:p>
    <w:p w:rsidR="006C5EE5" w:rsidRDefault="006C5EE5">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6D2617">
      <w:r>
        <w:rPr>
          <w:noProof/>
          <w:sz w:val="20"/>
          <w:lang w:val="en-US"/>
        </w:rPr>
        <w:pict>
          <v:shape id="_x0000_s1033" type="#_x0000_t202" style="position:absolute;margin-left:36pt;margin-top:8.85pt;width:378pt;height:117pt;z-index:251656704">
            <v:textbox>
              <w:txbxContent>
                <w:p w:rsidR="00A44D0A" w:rsidRPr="009220B2" w:rsidRDefault="00A44D0A" w:rsidP="00A44D0A">
                  <w:pPr>
                    <w:tabs>
                      <w:tab w:val="left" w:pos="-720"/>
                    </w:tabs>
                    <w:suppressAutoHyphens/>
                    <w:spacing w:after="120" w:line="360" w:lineRule="auto"/>
                    <w:jc w:val="both"/>
                    <w:rPr>
                      <w:rFonts w:ascii="Arial" w:hAnsi="Arial" w:cs="Arial"/>
                      <w:color w:val="222222"/>
                    </w:rPr>
                  </w:pPr>
                  <w:r w:rsidRPr="009220B2">
                    <w:rPr>
                      <w:rFonts w:ascii="Arial" w:eastAsia="Calibri" w:hAnsi="Arial" w:cs="Arial"/>
                      <w:color w:val="222222"/>
                      <w:u w:val="single"/>
                    </w:rPr>
                    <w:t>Project co-ordinator for the delivery of the Forensic Services Strategy</w:t>
                  </w:r>
                  <w:r w:rsidRPr="009220B2">
                    <w:rPr>
                      <w:rFonts w:ascii="Arial" w:eastAsia="Calibri" w:hAnsi="Arial" w:cs="Arial"/>
                      <w:color w:val="222222"/>
                    </w:rPr>
                    <w:t xml:space="preserve"> </w:t>
                  </w:r>
                </w:p>
                <w:p w:rsidR="002A0043" w:rsidRPr="00406AEF" w:rsidRDefault="00A44D0A" w:rsidP="00FD5571">
                  <w:pPr>
                    <w:spacing w:line="360" w:lineRule="auto"/>
                    <w:rPr>
                      <w:rFonts w:ascii="Arial" w:hAnsi="Arial" w:cs="Arial"/>
                      <w:sz w:val="20"/>
                      <w:szCs w:val="20"/>
                    </w:rPr>
                  </w:pPr>
                  <w:r w:rsidRPr="00406AEF">
                    <w:rPr>
                      <w:rFonts w:ascii="Arial" w:hAnsi="Arial" w:cs="Arial"/>
                      <w:sz w:val="20"/>
                      <w:szCs w:val="20"/>
                    </w:rPr>
                    <w:t>Secondment – 12 months with the possibility of an extension of up to 24 months subject to agreement of parties and provision of funding</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A44D0A" w:rsidRDefault="00A44D0A"/>
    <w:p w:rsidR="00A44D0A" w:rsidRDefault="00A44D0A"/>
    <w:p w:rsidR="00A44D0A" w:rsidRDefault="00A44D0A"/>
    <w:p w:rsidR="00A44D0A" w:rsidRDefault="00A44D0A"/>
    <w:p w:rsidR="002A0043" w:rsidRDefault="002A0043">
      <w:r>
        <w:lastRenderedPageBreak/>
        <w:t xml:space="preserve">      Main objectives of the opportunity</w:t>
      </w:r>
    </w:p>
    <w:p w:rsidR="00A44D0A" w:rsidRDefault="00A44D0A"/>
    <w:p w:rsidR="002A0043" w:rsidRDefault="006D2617">
      <w:r>
        <w:rPr>
          <w:noProof/>
          <w:sz w:val="20"/>
          <w:lang w:val="en-US"/>
        </w:rPr>
        <w:pict>
          <v:shape id="_x0000_s1034" type="#_x0000_t202" style="position:absolute;margin-left:36pt;margin-top:-.15pt;width:378pt;height:294pt;z-index:251657728">
            <v:textbox>
              <w:txbxContent>
                <w:p w:rsidR="00A44D0A" w:rsidRPr="00A44D0A" w:rsidRDefault="001D5516" w:rsidP="00A44D0A">
                  <w:pPr>
                    <w:tabs>
                      <w:tab w:val="left" w:pos="-720"/>
                    </w:tabs>
                    <w:suppressAutoHyphens/>
                    <w:spacing w:after="120" w:line="360" w:lineRule="auto"/>
                    <w:jc w:val="both"/>
                    <w:rPr>
                      <w:rFonts w:ascii="Arial" w:eastAsia="Calibri" w:hAnsi="Arial" w:cs="Arial"/>
                      <w:color w:val="222222"/>
                      <w:sz w:val="20"/>
                      <w:szCs w:val="20"/>
                    </w:rPr>
                  </w:pPr>
                  <w:r>
                    <w:rPr>
                      <w:rFonts w:ascii="Arial" w:eastAsia="Calibri" w:hAnsi="Arial" w:cs="Arial"/>
                      <w:color w:val="222222"/>
                      <w:sz w:val="20"/>
                      <w:szCs w:val="20"/>
                    </w:rPr>
                    <w:t>T</w:t>
                  </w:r>
                  <w:r w:rsidR="00A44D0A" w:rsidRPr="00A44D0A">
                    <w:rPr>
                      <w:rFonts w:ascii="Arial" w:eastAsia="Calibri" w:hAnsi="Arial" w:cs="Arial"/>
                      <w:color w:val="222222"/>
                      <w:sz w:val="20"/>
                      <w:szCs w:val="20"/>
                    </w:rPr>
                    <w:t>his role is the key co-ordinating point for the delivery of the projects of the Forensic Services Strategy and t</w:t>
                  </w:r>
                  <w:r w:rsidR="00406AEF">
                    <w:rPr>
                      <w:rFonts w:ascii="Arial" w:eastAsia="Calibri" w:hAnsi="Arial" w:cs="Arial"/>
                      <w:color w:val="222222"/>
                      <w:sz w:val="20"/>
                      <w:szCs w:val="20"/>
                    </w:rPr>
                    <w:t xml:space="preserve">he provision of </w:t>
                  </w:r>
                  <w:r w:rsidR="00A44D0A" w:rsidRPr="00A44D0A">
                    <w:rPr>
                      <w:rFonts w:ascii="Arial" w:eastAsia="Calibri" w:hAnsi="Arial" w:cs="Arial"/>
                      <w:color w:val="222222"/>
                      <w:sz w:val="20"/>
                      <w:szCs w:val="20"/>
                    </w:rPr>
                    <w:t>secretariat support to the Forensic Services Leadership Board</w:t>
                  </w:r>
                  <w:r w:rsidR="00A44D0A">
                    <w:rPr>
                      <w:rFonts w:ascii="Arial" w:eastAsia="Calibri" w:hAnsi="Arial" w:cs="Arial"/>
                      <w:color w:val="222222"/>
                      <w:sz w:val="20"/>
                      <w:szCs w:val="20"/>
                    </w:rPr>
                    <w:t xml:space="preserve"> and</w:t>
                  </w:r>
                  <w:r w:rsidR="00A44D0A" w:rsidRPr="00A44D0A">
                    <w:rPr>
                      <w:rFonts w:ascii="Arial" w:eastAsia="Calibri" w:hAnsi="Arial" w:cs="Arial"/>
                      <w:color w:val="222222"/>
                      <w:sz w:val="20"/>
                      <w:szCs w:val="20"/>
                    </w:rPr>
                    <w:t xml:space="preserve"> the Forensic Services Operations Group</w:t>
                  </w:r>
                  <w:r w:rsidR="00A44D0A">
                    <w:rPr>
                      <w:rFonts w:ascii="Arial" w:eastAsia="Calibri" w:hAnsi="Arial" w:cs="Arial"/>
                      <w:color w:val="222222"/>
                      <w:sz w:val="20"/>
                      <w:szCs w:val="20"/>
                    </w:rPr>
                    <w:t>.</w:t>
                  </w:r>
                  <w:r w:rsidR="00A44D0A" w:rsidRPr="00A44D0A">
                    <w:rPr>
                      <w:rFonts w:ascii="Arial" w:eastAsia="Calibri" w:hAnsi="Arial" w:cs="Arial"/>
                      <w:color w:val="222222"/>
                      <w:sz w:val="20"/>
                      <w:szCs w:val="20"/>
                    </w:rPr>
                    <w:t xml:space="preserve"> This post will also support the creation and delivery of plans for delivery of projects using the most up to date knowledge from across the Criminal Justice System and, as a consequence, requires experience of NICS Programme and Project Management, the Criminal Justice System, Business Planning and Budget Management.   This post will also play a key role in the collation of data, drafting of reports and the maintenance of good governance practices within the projects of the Forensic Services Strategy.</w:t>
                  </w:r>
                </w:p>
                <w:p w:rsidR="00A44D0A" w:rsidRPr="00A44D0A" w:rsidRDefault="00A44D0A" w:rsidP="00A44D0A">
                  <w:pPr>
                    <w:tabs>
                      <w:tab w:val="left" w:pos="-720"/>
                      <w:tab w:val="left" w:pos="0"/>
                    </w:tabs>
                    <w:suppressAutoHyphens/>
                    <w:spacing w:line="360" w:lineRule="auto"/>
                    <w:jc w:val="both"/>
                    <w:rPr>
                      <w:rFonts w:ascii="Arial" w:eastAsia="Calibri" w:hAnsi="Arial" w:cs="Arial"/>
                      <w:color w:val="222222"/>
                      <w:sz w:val="20"/>
                      <w:szCs w:val="20"/>
                    </w:rPr>
                  </w:pPr>
                  <w:r w:rsidRPr="00A44D0A">
                    <w:rPr>
                      <w:rFonts w:ascii="Arial" w:hAnsi="Arial" w:cs="Arial"/>
                      <w:color w:val="222222"/>
                      <w:sz w:val="20"/>
                      <w:szCs w:val="20"/>
                    </w:rPr>
                    <w:t>As the Forensic Services Strategy impacts all organisations across the Criminal Justice Sector, this post requires the building and maintaining of networks and the involvement of partners to deliver outcomes. Challenging current processes will be a key element of this role.  As such, this role will be involved in the development and delivery of communications products and liaison with officials across the CJS to help ensure co-operation and smooth delivery of the projects.</w:t>
                  </w:r>
                </w:p>
                <w:p w:rsidR="00A44D0A" w:rsidRDefault="00A44D0A" w:rsidP="00A44D0A">
                  <w:pPr>
                    <w:autoSpaceDE w:val="0"/>
                    <w:autoSpaceDN w:val="0"/>
                    <w:adjustRightInd w:val="0"/>
                    <w:spacing w:line="360" w:lineRule="auto"/>
                    <w:rPr>
                      <w:rFonts w:ascii="Arial" w:hAnsi="Arial" w:cs="Arial"/>
                    </w:rPr>
                  </w:pPr>
                </w:p>
                <w:p w:rsidR="002A0043" w:rsidRDefault="002A0043">
                  <w:pPr>
                    <w:rPr>
                      <w:rFonts w:ascii="Arial" w:hAnsi="Arial" w:cs="Arial"/>
                    </w:rPr>
                  </w:pPr>
                </w:p>
                <w:p w:rsidR="002A0043" w:rsidRDefault="002A0043"/>
              </w:txbxContent>
            </v:textbox>
          </v:shape>
        </w:pict>
      </w:r>
    </w:p>
    <w:p w:rsidR="002A0043" w:rsidRDefault="002A0043"/>
    <w:p w:rsidR="002A0043" w:rsidRDefault="002A0043"/>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A44D0A" w:rsidRDefault="00A44D0A"/>
    <w:p w:rsidR="002A0043" w:rsidRDefault="002A0043">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6D75C8" w:rsidRDefault="006D75C8"/>
    <w:tbl>
      <w:tblPr>
        <w:tblStyle w:val="TableGrid"/>
        <w:tblW w:w="0" w:type="auto"/>
        <w:tblLook w:val="04A0" w:firstRow="1" w:lastRow="0" w:firstColumn="1" w:lastColumn="0" w:noHBand="0" w:noVBand="1"/>
      </w:tblPr>
      <w:tblGrid>
        <w:gridCol w:w="8522"/>
      </w:tblGrid>
      <w:tr w:rsidR="006D75C8" w:rsidRPr="006D75C8" w:rsidTr="00FD562C">
        <w:tc>
          <w:tcPr>
            <w:tcW w:w="9016" w:type="dxa"/>
          </w:tcPr>
          <w:p w:rsidR="006D75C8" w:rsidRPr="006D75C8" w:rsidRDefault="006D75C8" w:rsidP="006D75C8">
            <w:pPr>
              <w:spacing w:line="360" w:lineRule="auto"/>
              <w:jc w:val="both"/>
              <w:rPr>
                <w:rFonts w:ascii="Arial" w:hAnsi="Arial" w:cs="Arial"/>
                <w:sz w:val="20"/>
                <w:szCs w:val="20"/>
              </w:rPr>
            </w:pPr>
            <w:r w:rsidRPr="006D75C8">
              <w:rPr>
                <w:rFonts w:ascii="Arial" w:hAnsi="Arial" w:cs="Arial"/>
                <w:sz w:val="20"/>
                <w:szCs w:val="20"/>
              </w:rPr>
              <w:t>The individual should have:-</w:t>
            </w:r>
          </w:p>
          <w:p w:rsidR="006D75C8" w:rsidRPr="006D75C8" w:rsidRDefault="006D75C8" w:rsidP="006D75C8">
            <w:pPr>
              <w:numPr>
                <w:ilvl w:val="0"/>
                <w:numId w:val="4"/>
              </w:numPr>
              <w:spacing w:line="360" w:lineRule="auto"/>
              <w:jc w:val="both"/>
              <w:rPr>
                <w:rFonts w:ascii="Arial" w:hAnsi="Arial" w:cs="Arial"/>
                <w:sz w:val="20"/>
                <w:szCs w:val="20"/>
              </w:rPr>
            </w:pPr>
            <w:r w:rsidRPr="006D75C8">
              <w:rPr>
                <w:rFonts w:ascii="Arial" w:hAnsi="Arial" w:cs="Arial"/>
                <w:sz w:val="20"/>
                <w:szCs w:val="20"/>
              </w:rPr>
              <w:t>Experience or knowledge of the Criminal Justice system and processes;</w:t>
            </w:r>
          </w:p>
          <w:p w:rsidR="006D75C8" w:rsidRPr="006D75C8" w:rsidRDefault="006D75C8" w:rsidP="006D75C8">
            <w:pPr>
              <w:numPr>
                <w:ilvl w:val="0"/>
                <w:numId w:val="4"/>
              </w:numPr>
              <w:spacing w:line="360" w:lineRule="auto"/>
              <w:jc w:val="both"/>
              <w:rPr>
                <w:rFonts w:ascii="Arial" w:hAnsi="Arial" w:cs="Arial"/>
                <w:sz w:val="20"/>
                <w:szCs w:val="20"/>
              </w:rPr>
            </w:pPr>
            <w:r w:rsidRPr="006D75C8">
              <w:rPr>
                <w:rFonts w:ascii="Arial" w:hAnsi="Arial" w:cs="Arial"/>
                <w:sz w:val="20"/>
                <w:szCs w:val="20"/>
              </w:rPr>
              <w:t>Experience in public sector project management;</w:t>
            </w:r>
          </w:p>
          <w:p w:rsidR="006D75C8" w:rsidRPr="006D75C8" w:rsidRDefault="006D75C8" w:rsidP="006D75C8">
            <w:pPr>
              <w:numPr>
                <w:ilvl w:val="0"/>
                <w:numId w:val="4"/>
              </w:numPr>
              <w:spacing w:line="360" w:lineRule="auto"/>
              <w:jc w:val="both"/>
              <w:rPr>
                <w:rFonts w:ascii="Arial" w:hAnsi="Arial" w:cs="Arial"/>
                <w:sz w:val="20"/>
                <w:szCs w:val="20"/>
              </w:rPr>
            </w:pPr>
            <w:r w:rsidRPr="006D75C8">
              <w:rPr>
                <w:rFonts w:ascii="Arial" w:hAnsi="Arial" w:cs="Arial"/>
                <w:sz w:val="20"/>
                <w:szCs w:val="20"/>
              </w:rPr>
              <w:t>Experience of providing support and guidance to officials in</w:t>
            </w:r>
            <w:r w:rsidRPr="006D75C8">
              <w:rPr>
                <w:rFonts w:ascii="Arial" w:hAnsi="Arial" w:cs="Arial"/>
                <w:sz w:val="24"/>
              </w:rPr>
              <w:t xml:space="preserve"> </w:t>
            </w:r>
            <w:r w:rsidRPr="006D75C8">
              <w:rPr>
                <w:rFonts w:ascii="Arial" w:hAnsi="Arial" w:cs="Arial"/>
                <w:sz w:val="20"/>
                <w:szCs w:val="20"/>
              </w:rPr>
              <w:t>the Public</w:t>
            </w:r>
            <w:r w:rsidRPr="006D75C8">
              <w:rPr>
                <w:rFonts w:ascii="Arial" w:hAnsi="Arial" w:cs="Arial"/>
                <w:sz w:val="24"/>
              </w:rPr>
              <w:t xml:space="preserve"> </w:t>
            </w:r>
            <w:r w:rsidRPr="006D75C8">
              <w:rPr>
                <w:rFonts w:ascii="Arial" w:hAnsi="Arial" w:cs="Arial"/>
                <w:sz w:val="20"/>
                <w:szCs w:val="20"/>
              </w:rPr>
              <w:t>Sector including the development of draft briefings and submissions;</w:t>
            </w:r>
          </w:p>
          <w:p w:rsidR="006D75C8" w:rsidRPr="006D75C8" w:rsidRDefault="006D75C8" w:rsidP="006D75C8">
            <w:pPr>
              <w:numPr>
                <w:ilvl w:val="0"/>
                <w:numId w:val="4"/>
              </w:numPr>
              <w:spacing w:line="360" w:lineRule="auto"/>
              <w:jc w:val="both"/>
              <w:rPr>
                <w:rFonts w:ascii="Arial" w:hAnsi="Arial" w:cs="Arial"/>
                <w:sz w:val="20"/>
                <w:szCs w:val="20"/>
              </w:rPr>
            </w:pPr>
            <w:r w:rsidRPr="006D75C8">
              <w:rPr>
                <w:rFonts w:ascii="Arial" w:hAnsi="Arial" w:cs="Arial"/>
                <w:sz w:val="20"/>
                <w:szCs w:val="20"/>
              </w:rPr>
              <w:t>Understanding of public sector finance and experience of budget management;</w:t>
            </w:r>
          </w:p>
          <w:p w:rsidR="006D75C8" w:rsidRPr="006D75C8" w:rsidRDefault="006D75C8" w:rsidP="006D75C8">
            <w:pPr>
              <w:numPr>
                <w:ilvl w:val="0"/>
                <w:numId w:val="4"/>
              </w:numPr>
              <w:spacing w:line="360" w:lineRule="auto"/>
              <w:jc w:val="both"/>
              <w:rPr>
                <w:rFonts w:ascii="Arial" w:hAnsi="Arial" w:cs="Arial"/>
                <w:sz w:val="20"/>
                <w:szCs w:val="20"/>
              </w:rPr>
            </w:pPr>
            <w:r w:rsidRPr="006D75C8">
              <w:rPr>
                <w:rFonts w:ascii="Arial" w:hAnsi="Arial" w:cs="Arial"/>
                <w:sz w:val="20"/>
                <w:szCs w:val="20"/>
              </w:rPr>
              <w:t>Experience of public sector governance processes to include business planning and risk management;</w:t>
            </w:r>
          </w:p>
          <w:p w:rsidR="006D75C8" w:rsidRPr="006D75C8" w:rsidRDefault="006D75C8" w:rsidP="006D75C8">
            <w:pPr>
              <w:numPr>
                <w:ilvl w:val="0"/>
                <w:numId w:val="4"/>
              </w:numPr>
              <w:spacing w:line="360" w:lineRule="auto"/>
              <w:jc w:val="both"/>
              <w:rPr>
                <w:rFonts w:ascii="Arial" w:hAnsi="Arial" w:cs="Arial"/>
                <w:sz w:val="24"/>
              </w:rPr>
            </w:pPr>
            <w:r w:rsidRPr="006D75C8">
              <w:rPr>
                <w:rFonts w:ascii="Arial" w:hAnsi="Arial" w:cs="Arial"/>
                <w:sz w:val="20"/>
                <w:szCs w:val="20"/>
              </w:rPr>
              <w:t>Experience of working across a complex stakeholder</w:t>
            </w:r>
            <w:r w:rsidRPr="006D75C8">
              <w:rPr>
                <w:rFonts w:ascii="Arial" w:hAnsi="Arial" w:cs="Arial"/>
                <w:sz w:val="24"/>
              </w:rPr>
              <w:t xml:space="preserve"> </w:t>
            </w:r>
            <w:r w:rsidRPr="006D75C8">
              <w:rPr>
                <w:rFonts w:ascii="Arial" w:hAnsi="Arial" w:cs="Arial"/>
                <w:sz w:val="20"/>
                <w:szCs w:val="20"/>
              </w:rPr>
              <w:t>environment;</w:t>
            </w:r>
          </w:p>
          <w:p w:rsidR="006D75C8" w:rsidRPr="006D75C8" w:rsidRDefault="006D75C8" w:rsidP="006D75C8">
            <w:pPr>
              <w:numPr>
                <w:ilvl w:val="0"/>
                <w:numId w:val="4"/>
              </w:numPr>
              <w:spacing w:line="360" w:lineRule="auto"/>
              <w:jc w:val="both"/>
              <w:rPr>
                <w:rFonts w:ascii="Arial" w:hAnsi="Arial" w:cs="Arial"/>
                <w:sz w:val="20"/>
                <w:szCs w:val="20"/>
              </w:rPr>
            </w:pPr>
            <w:r w:rsidRPr="006D75C8">
              <w:rPr>
                <w:rFonts w:ascii="Arial" w:hAnsi="Arial" w:cs="Arial"/>
                <w:sz w:val="20"/>
                <w:szCs w:val="20"/>
              </w:rPr>
              <w:t>Experience of contributing effectively to teams and liaising with key individuals;</w:t>
            </w:r>
          </w:p>
          <w:p w:rsidR="006D75C8" w:rsidRPr="006D75C8" w:rsidRDefault="006D75C8" w:rsidP="006D75C8">
            <w:pPr>
              <w:numPr>
                <w:ilvl w:val="0"/>
                <w:numId w:val="4"/>
              </w:numPr>
              <w:spacing w:line="360" w:lineRule="auto"/>
              <w:jc w:val="both"/>
              <w:rPr>
                <w:rFonts w:ascii="Arial" w:hAnsi="Arial" w:cs="Arial"/>
                <w:sz w:val="20"/>
                <w:szCs w:val="20"/>
              </w:rPr>
            </w:pPr>
            <w:r w:rsidRPr="006D75C8">
              <w:rPr>
                <w:rFonts w:ascii="Arial" w:hAnsi="Arial" w:cs="Arial"/>
                <w:sz w:val="20"/>
                <w:szCs w:val="20"/>
              </w:rPr>
              <w:t>Experience in the development of presentations;</w:t>
            </w:r>
          </w:p>
          <w:p w:rsidR="006D75C8" w:rsidRPr="006D75C8" w:rsidRDefault="006D75C8" w:rsidP="006D75C8">
            <w:pPr>
              <w:numPr>
                <w:ilvl w:val="0"/>
                <w:numId w:val="4"/>
              </w:numPr>
              <w:spacing w:line="360" w:lineRule="auto"/>
              <w:jc w:val="both"/>
              <w:rPr>
                <w:rFonts w:ascii="Arial" w:hAnsi="Arial" w:cs="Arial"/>
                <w:sz w:val="20"/>
                <w:szCs w:val="20"/>
              </w:rPr>
            </w:pPr>
            <w:r w:rsidRPr="006D75C8">
              <w:rPr>
                <w:rFonts w:ascii="Arial" w:hAnsi="Arial" w:cs="Arial"/>
                <w:sz w:val="20"/>
                <w:szCs w:val="20"/>
              </w:rPr>
              <w:t>Experience of, and the ability to, collate data and report management information on key recommendations and project objectives; and</w:t>
            </w:r>
          </w:p>
          <w:p w:rsidR="006D75C8" w:rsidRPr="006D75C8" w:rsidRDefault="006D75C8" w:rsidP="006D75C8">
            <w:pPr>
              <w:numPr>
                <w:ilvl w:val="0"/>
                <w:numId w:val="4"/>
              </w:numPr>
              <w:spacing w:line="360" w:lineRule="auto"/>
              <w:jc w:val="both"/>
              <w:rPr>
                <w:sz w:val="24"/>
              </w:rPr>
            </w:pPr>
            <w:r w:rsidRPr="006D75C8">
              <w:rPr>
                <w:rFonts w:ascii="Arial" w:hAnsi="Arial" w:cs="Arial"/>
                <w:sz w:val="20"/>
                <w:szCs w:val="20"/>
              </w:rPr>
              <w:t>Excellent communication and persuasive skills.</w:t>
            </w:r>
          </w:p>
          <w:p w:rsidR="006D75C8" w:rsidRPr="006D75C8" w:rsidRDefault="006D75C8" w:rsidP="006D75C8">
            <w:pPr>
              <w:spacing w:line="360" w:lineRule="auto"/>
              <w:jc w:val="both"/>
              <w:rPr>
                <w:rFonts w:ascii="Arial" w:hAnsi="Arial" w:cs="Arial"/>
                <w:sz w:val="20"/>
                <w:szCs w:val="20"/>
              </w:rPr>
            </w:pPr>
          </w:p>
        </w:tc>
      </w:tr>
    </w:tbl>
    <w:p w:rsidR="006D75C8" w:rsidRDefault="006D75C8"/>
    <w:p w:rsidR="002A0043" w:rsidRDefault="002A0043">
      <w:pPr>
        <w:rPr>
          <w:b/>
          <w:bCs/>
        </w:rPr>
      </w:pPr>
      <w:r>
        <w:rPr>
          <w:b/>
          <w:bCs/>
        </w:rPr>
        <w:lastRenderedPageBreak/>
        <w:t>4.  Personnel: Please state below</w:t>
      </w:r>
    </w:p>
    <w:p w:rsidR="002A0043" w:rsidRDefault="002A0043">
      <w:pPr>
        <w:rPr>
          <w:b/>
          <w:bCs/>
        </w:rPr>
      </w:pPr>
    </w:p>
    <w:p w:rsidR="00F0682A" w:rsidRDefault="002A0043">
      <w:r>
        <w:t xml:space="preserve">         Who will the individual report to? </w:t>
      </w:r>
    </w:p>
    <w:p w:rsidR="00F0682A" w:rsidRDefault="00F0682A"/>
    <w:tbl>
      <w:tblPr>
        <w:tblStyle w:val="TableGrid"/>
        <w:tblW w:w="0" w:type="auto"/>
        <w:tblInd w:w="959" w:type="dxa"/>
        <w:tblLook w:val="04A0" w:firstRow="1" w:lastRow="0" w:firstColumn="1" w:lastColumn="0" w:noHBand="0" w:noVBand="1"/>
      </w:tblPr>
      <w:tblGrid>
        <w:gridCol w:w="4819"/>
      </w:tblGrid>
      <w:tr w:rsidR="00F0682A" w:rsidTr="00F0682A">
        <w:tc>
          <w:tcPr>
            <w:tcW w:w="4819" w:type="dxa"/>
          </w:tcPr>
          <w:p w:rsidR="00F0682A" w:rsidRPr="006B68E7" w:rsidRDefault="00F0682A">
            <w:pPr>
              <w:rPr>
                <w:rFonts w:ascii="Arial" w:hAnsi="Arial" w:cs="Arial"/>
              </w:rPr>
            </w:pPr>
            <w:r w:rsidRPr="006B68E7">
              <w:rPr>
                <w:rFonts w:ascii="Arial" w:hAnsi="Arial" w:cs="Arial"/>
              </w:rPr>
              <w:t>Mapping Project Team Leader</w:t>
            </w:r>
          </w:p>
        </w:tc>
      </w:tr>
    </w:tbl>
    <w:p w:rsidR="00F0682A" w:rsidRDefault="00F0682A"/>
    <w:p w:rsidR="002A0043" w:rsidRDefault="002A0043">
      <w:r>
        <w:t xml:space="preserve">         Who will be the individual’s line manager and/or reporting officer?</w:t>
      </w:r>
    </w:p>
    <w:p w:rsidR="00F0682A" w:rsidRDefault="00F0682A"/>
    <w:tbl>
      <w:tblPr>
        <w:tblStyle w:val="TableGrid"/>
        <w:tblW w:w="0" w:type="auto"/>
        <w:tblInd w:w="959" w:type="dxa"/>
        <w:tblLook w:val="04A0" w:firstRow="1" w:lastRow="0" w:firstColumn="1" w:lastColumn="0" w:noHBand="0" w:noVBand="1"/>
      </w:tblPr>
      <w:tblGrid>
        <w:gridCol w:w="4819"/>
      </w:tblGrid>
      <w:tr w:rsidR="00F0682A" w:rsidTr="00F0682A">
        <w:tc>
          <w:tcPr>
            <w:tcW w:w="4819" w:type="dxa"/>
          </w:tcPr>
          <w:p w:rsidR="00F0682A" w:rsidRPr="003961F6" w:rsidRDefault="00F0682A">
            <w:pPr>
              <w:rPr>
                <w:sz w:val="24"/>
                <w:szCs w:val="24"/>
              </w:rPr>
            </w:pPr>
            <w:r w:rsidRPr="003961F6">
              <w:rPr>
                <w:sz w:val="24"/>
                <w:szCs w:val="24"/>
              </w:rPr>
              <w:t xml:space="preserve">Mr Peter </w:t>
            </w:r>
            <w:proofErr w:type="spellStart"/>
            <w:r w:rsidRPr="003961F6">
              <w:rPr>
                <w:sz w:val="24"/>
                <w:szCs w:val="24"/>
              </w:rPr>
              <w:t>Gileece</w:t>
            </w:r>
            <w:proofErr w:type="spellEnd"/>
            <w:r w:rsidRPr="003961F6">
              <w:rPr>
                <w:sz w:val="24"/>
                <w:szCs w:val="24"/>
              </w:rPr>
              <w:t xml:space="preserve"> – Programme Director</w:t>
            </w:r>
          </w:p>
        </w:tc>
      </w:tr>
    </w:tbl>
    <w:p w:rsidR="00F0682A" w:rsidRDefault="00F0682A"/>
    <w:p w:rsidR="00F0682A" w:rsidRDefault="00F0682A"/>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6D75C8" w:rsidRDefault="006D75C8"/>
    <w:tbl>
      <w:tblPr>
        <w:tblStyle w:val="TableGrid1"/>
        <w:tblW w:w="0" w:type="auto"/>
        <w:tblLook w:val="04A0" w:firstRow="1" w:lastRow="0" w:firstColumn="1" w:lastColumn="0" w:noHBand="0" w:noVBand="1"/>
      </w:tblPr>
      <w:tblGrid>
        <w:gridCol w:w="8522"/>
      </w:tblGrid>
      <w:tr w:rsidR="006D75C8" w:rsidRPr="006D75C8" w:rsidTr="00F0682A">
        <w:trPr>
          <w:trHeight w:val="1978"/>
        </w:trPr>
        <w:tc>
          <w:tcPr>
            <w:tcW w:w="9016" w:type="dxa"/>
          </w:tcPr>
          <w:p w:rsidR="006D75C8" w:rsidRPr="006D75C8" w:rsidRDefault="006D75C8" w:rsidP="00F0682A">
            <w:pPr>
              <w:spacing w:line="360" w:lineRule="auto"/>
              <w:rPr>
                <w:rFonts w:ascii="Arial" w:hAnsi="Arial" w:cs="Arial"/>
                <w:sz w:val="20"/>
                <w:szCs w:val="20"/>
              </w:rPr>
            </w:pPr>
            <w:r w:rsidRPr="00F0682A">
              <w:rPr>
                <w:rFonts w:ascii="Arial" w:hAnsi="Arial" w:cs="Arial"/>
              </w:rPr>
              <w:t>This is a unique opportunity to be part of a cross criminal justice sector team delivering the objectives of the Forensic Services Strategy and its projects.  As a consequence this post will work with organisations across the sector to support delivery of a number of projects to speed processes and reduce nugatory work.  The strategy is led by a retired Judge, which adds significant learning, weight and prominence to the work.</w:t>
            </w:r>
          </w:p>
        </w:tc>
      </w:tr>
    </w:tbl>
    <w:p w:rsidR="002A0043" w:rsidRDefault="002A0043"/>
    <w:p w:rsidR="00F0682A" w:rsidRDefault="00F0682A"/>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2A0043">
      <w:pPr>
        <w:rPr>
          <w:lang w:val="en-US"/>
        </w:rPr>
      </w:pPr>
    </w:p>
    <w:tbl>
      <w:tblPr>
        <w:tblStyle w:val="TableGrid"/>
        <w:tblW w:w="0" w:type="auto"/>
        <w:tblLook w:val="04A0" w:firstRow="1" w:lastRow="0" w:firstColumn="1" w:lastColumn="0" w:noHBand="0" w:noVBand="1"/>
      </w:tblPr>
      <w:tblGrid>
        <w:gridCol w:w="8522"/>
      </w:tblGrid>
      <w:tr w:rsidR="00F0682A" w:rsidTr="00F0682A">
        <w:tc>
          <w:tcPr>
            <w:tcW w:w="8522" w:type="dxa"/>
          </w:tcPr>
          <w:p w:rsidR="00F0682A" w:rsidRPr="00F0682A" w:rsidRDefault="00F0682A" w:rsidP="00F0682A">
            <w:pPr>
              <w:rPr>
                <w:rFonts w:ascii="Arial" w:hAnsi="Arial" w:cs="Arial"/>
              </w:rPr>
            </w:pPr>
            <w:r w:rsidRPr="00F0682A">
              <w:rPr>
                <w:rFonts w:ascii="Arial" w:hAnsi="Arial" w:cs="Arial"/>
                <w:b/>
              </w:rPr>
              <w:t>Start date</w:t>
            </w:r>
            <w:r w:rsidRPr="00F0682A">
              <w:rPr>
                <w:rFonts w:ascii="Arial" w:hAnsi="Arial" w:cs="Arial"/>
              </w:rPr>
              <w:t xml:space="preserve"> will be as quickly as possible taking into consideration requirement for CTC clearance if successful candidate is not already cleared.</w:t>
            </w:r>
          </w:p>
          <w:p w:rsidR="00F0682A" w:rsidRPr="00F0682A" w:rsidRDefault="00F0682A" w:rsidP="00F0682A">
            <w:pPr>
              <w:rPr>
                <w:rFonts w:ascii="Arial" w:hAnsi="Arial" w:cs="Arial"/>
              </w:rPr>
            </w:pPr>
          </w:p>
          <w:p w:rsidR="00F0682A" w:rsidRPr="00F0682A" w:rsidRDefault="00F0682A" w:rsidP="00F0682A">
            <w:pPr>
              <w:rPr>
                <w:rFonts w:ascii="Arial" w:hAnsi="Arial" w:cs="Arial"/>
              </w:rPr>
            </w:pPr>
            <w:r w:rsidRPr="00F0682A">
              <w:rPr>
                <w:rFonts w:ascii="Arial" w:hAnsi="Arial" w:cs="Arial"/>
                <w:b/>
              </w:rPr>
              <w:t>Duration</w:t>
            </w:r>
            <w:r w:rsidRPr="00F0682A">
              <w:rPr>
                <w:rFonts w:ascii="Arial" w:hAnsi="Arial" w:cs="Arial"/>
              </w:rPr>
              <w:t xml:space="preserve"> could be for up to three years – funding permitting;</w:t>
            </w:r>
          </w:p>
          <w:p w:rsidR="00F0682A" w:rsidRPr="00F0682A" w:rsidRDefault="00F0682A" w:rsidP="00F0682A">
            <w:pPr>
              <w:rPr>
                <w:rFonts w:ascii="Arial" w:hAnsi="Arial" w:cs="Arial"/>
              </w:rPr>
            </w:pPr>
          </w:p>
          <w:p w:rsidR="00F0682A" w:rsidRPr="00F0682A" w:rsidRDefault="00F0682A" w:rsidP="00F0682A">
            <w:pPr>
              <w:rPr>
                <w:rFonts w:ascii="Arial" w:hAnsi="Arial" w:cs="Arial"/>
              </w:rPr>
            </w:pPr>
            <w:r w:rsidRPr="00F0682A">
              <w:rPr>
                <w:rFonts w:ascii="Arial" w:hAnsi="Arial" w:cs="Arial"/>
                <w:b/>
              </w:rPr>
              <w:t>Salary</w:t>
            </w:r>
            <w:r w:rsidRPr="00F0682A">
              <w:rPr>
                <w:rFonts w:ascii="Arial" w:hAnsi="Arial" w:cs="Arial"/>
              </w:rPr>
              <w:t>: FSLB will meet salary (range: 30,149 - £31,760) and associated expenses</w:t>
            </w:r>
          </w:p>
          <w:p w:rsidR="00F0682A" w:rsidRPr="00F0682A" w:rsidRDefault="00F0682A" w:rsidP="00F0682A">
            <w:pPr>
              <w:rPr>
                <w:rFonts w:ascii="Arial" w:hAnsi="Arial" w:cs="Arial"/>
              </w:rPr>
            </w:pPr>
          </w:p>
          <w:p w:rsidR="00F0682A" w:rsidRPr="00F0682A" w:rsidRDefault="00F0682A" w:rsidP="00F0682A">
            <w:pPr>
              <w:rPr>
                <w:rFonts w:ascii="Arial" w:hAnsi="Arial" w:cs="Arial"/>
              </w:rPr>
            </w:pPr>
            <w:r w:rsidRPr="00F0682A">
              <w:rPr>
                <w:rFonts w:ascii="Arial" w:hAnsi="Arial" w:cs="Arial"/>
                <w:b/>
              </w:rPr>
              <w:t>Location</w:t>
            </w:r>
            <w:r w:rsidRPr="00F0682A">
              <w:rPr>
                <w:rFonts w:ascii="Arial" w:hAnsi="Arial" w:cs="Arial"/>
              </w:rPr>
              <w:t xml:space="preserve"> – Offices in PSNI Site </w:t>
            </w:r>
            <w:proofErr w:type="spellStart"/>
            <w:r w:rsidRPr="00F0682A">
              <w:rPr>
                <w:rFonts w:ascii="Arial" w:hAnsi="Arial" w:cs="Arial"/>
              </w:rPr>
              <w:t>Seapark</w:t>
            </w:r>
            <w:proofErr w:type="spellEnd"/>
            <w:r w:rsidRPr="00F0682A">
              <w:rPr>
                <w:rFonts w:ascii="Arial" w:hAnsi="Arial" w:cs="Arial"/>
              </w:rPr>
              <w:t xml:space="preserve">, </w:t>
            </w:r>
            <w:proofErr w:type="spellStart"/>
            <w:r w:rsidRPr="00F0682A">
              <w:rPr>
                <w:rFonts w:ascii="Arial" w:hAnsi="Arial" w:cs="Arial"/>
              </w:rPr>
              <w:t>Carrickfergus</w:t>
            </w:r>
            <w:proofErr w:type="spellEnd"/>
            <w:r w:rsidRPr="00F0682A">
              <w:rPr>
                <w:rFonts w:ascii="Arial" w:hAnsi="Arial" w:cs="Arial"/>
              </w:rPr>
              <w:t>;</w:t>
            </w:r>
          </w:p>
          <w:p w:rsidR="00F0682A" w:rsidRPr="00F0682A" w:rsidRDefault="00F0682A" w:rsidP="00F0682A">
            <w:pPr>
              <w:rPr>
                <w:rFonts w:ascii="Arial" w:hAnsi="Arial" w:cs="Arial"/>
              </w:rPr>
            </w:pPr>
          </w:p>
          <w:p w:rsidR="00F0682A" w:rsidRPr="00F0682A" w:rsidRDefault="00F0682A" w:rsidP="00F0682A">
            <w:pPr>
              <w:rPr>
                <w:rFonts w:ascii="Arial" w:hAnsi="Arial" w:cs="Arial"/>
              </w:rPr>
            </w:pPr>
            <w:r w:rsidRPr="00F0682A">
              <w:rPr>
                <w:rFonts w:ascii="Arial" w:hAnsi="Arial" w:cs="Arial"/>
                <w:b/>
              </w:rPr>
              <w:t>Access to a form of transport</w:t>
            </w:r>
            <w:r w:rsidRPr="00F0682A">
              <w:rPr>
                <w:rFonts w:ascii="Arial" w:hAnsi="Arial" w:cs="Arial"/>
              </w:rPr>
              <w:t xml:space="preserve"> will be required in order to fulfil the duties of the post</w:t>
            </w:r>
          </w:p>
          <w:p w:rsidR="00F0682A" w:rsidRPr="00F0682A" w:rsidRDefault="00F0682A" w:rsidP="00F0682A">
            <w:pPr>
              <w:rPr>
                <w:rFonts w:ascii="Arial" w:hAnsi="Arial" w:cs="Arial"/>
              </w:rPr>
            </w:pPr>
          </w:p>
          <w:p w:rsidR="00F0682A" w:rsidRPr="00F0682A" w:rsidRDefault="00F0682A" w:rsidP="00F0682A">
            <w:pPr>
              <w:rPr>
                <w:rFonts w:ascii="Arial" w:hAnsi="Arial" w:cs="Arial"/>
              </w:rPr>
            </w:pPr>
            <w:r w:rsidRPr="00F0682A">
              <w:rPr>
                <w:rFonts w:ascii="Arial" w:hAnsi="Arial" w:cs="Arial"/>
                <w:b/>
              </w:rPr>
              <w:t>Resources</w:t>
            </w:r>
            <w:r w:rsidRPr="00F0682A">
              <w:rPr>
                <w:rFonts w:ascii="Arial" w:hAnsi="Arial" w:cs="Arial"/>
              </w:rPr>
              <w:t xml:space="preserve"> – Normal admin resources.</w:t>
            </w:r>
          </w:p>
          <w:p w:rsidR="00F0682A" w:rsidRPr="00F0682A" w:rsidRDefault="00F0682A" w:rsidP="00F0682A">
            <w:pPr>
              <w:rPr>
                <w:rFonts w:ascii="Arial" w:hAnsi="Arial" w:cs="Arial"/>
              </w:rPr>
            </w:pPr>
          </w:p>
          <w:p w:rsidR="00F0682A" w:rsidRPr="00F0682A" w:rsidRDefault="00F0682A" w:rsidP="00F0682A">
            <w:pPr>
              <w:rPr>
                <w:rFonts w:ascii="Arial" w:hAnsi="Arial" w:cs="Arial"/>
              </w:rPr>
            </w:pPr>
            <w:r w:rsidRPr="00F0682A">
              <w:rPr>
                <w:rFonts w:ascii="Arial" w:hAnsi="Arial" w:cs="Arial"/>
                <w:b/>
              </w:rPr>
              <w:t>Security Clearance</w:t>
            </w:r>
            <w:r w:rsidRPr="00F0682A">
              <w:rPr>
                <w:rFonts w:ascii="Arial" w:hAnsi="Arial" w:cs="Arial"/>
              </w:rPr>
              <w:t xml:space="preserve"> will be required to CTC level.</w:t>
            </w:r>
          </w:p>
          <w:p w:rsidR="00F0682A" w:rsidRPr="00F0682A" w:rsidRDefault="00F0682A" w:rsidP="00F0682A">
            <w:pPr>
              <w:rPr>
                <w:rFonts w:ascii="Arial" w:hAnsi="Arial" w:cs="Arial"/>
              </w:rPr>
            </w:pPr>
          </w:p>
          <w:p w:rsidR="00F0682A" w:rsidRPr="00F0682A" w:rsidRDefault="00F0682A" w:rsidP="00F0682A">
            <w:pPr>
              <w:spacing w:line="360" w:lineRule="auto"/>
              <w:rPr>
                <w:rFonts w:ascii="Arial" w:hAnsi="Arial" w:cs="Arial"/>
              </w:rPr>
            </w:pPr>
            <w:r w:rsidRPr="00F0682A">
              <w:rPr>
                <w:rFonts w:ascii="Arial" w:hAnsi="Arial" w:cs="Arial"/>
                <w:b/>
              </w:rPr>
              <w:t>Selection</w:t>
            </w:r>
            <w:r w:rsidRPr="00F0682A">
              <w:rPr>
                <w:rFonts w:ascii="Arial" w:hAnsi="Arial" w:cs="Arial"/>
              </w:rPr>
              <w:t xml:space="preserve"> will be by a paper sift followed by a short interview of candidates.</w:t>
            </w:r>
          </w:p>
          <w:p w:rsidR="00F0682A" w:rsidRPr="00F0682A" w:rsidRDefault="00F0682A" w:rsidP="00F0682A">
            <w:pPr>
              <w:rPr>
                <w:rFonts w:ascii="Arial" w:hAnsi="Arial" w:cs="Arial"/>
              </w:rPr>
            </w:pPr>
            <w:r w:rsidRPr="00F0682A">
              <w:rPr>
                <w:rFonts w:ascii="Arial" w:hAnsi="Arial" w:cs="Arial"/>
                <w:b/>
              </w:rPr>
              <w:t>Closing Date</w:t>
            </w:r>
            <w:r w:rsidRPr="00F0682A">
              <w:rPr>
                <w:rFonts w:ascii="Arial" w:hAnsi="Arial" w:cs="Arial"/>
              </w:rPr>
              <w:t xml:space="preserve"> for applications is 5.00pm on Friday 08 </w:t>
            </w:r>
            <w:r w:rsidR="006D2617">
              <w:rPr>
                <w:rFonts w:ascii="Arial" w:hAnsi="Arial" w:cs="Arial"/>
              </w:rPr>
              <w:t>February</w:t>
            </w:r>
            <w:bookmarkStart w:id="0" w:name="_GoBack"/>
            <w:bookmarkEnd w:id="0"/>
            <w:r w:rsidRPr="00F0682A">
              <w:rPr>
                <w:rFonts w:ascii="Arial" w:hAnsi="Arial" w:cs="Arial"/>
              </w:rPr>
              <w:t xml:space="preserve"> 2019 </w:t>
            </w:r>
          </w:p>
          <w:p w:rsidR="00F0682A" w:rsidRDefault="00F0682A">
            <w:pPr>
              <w:rPr>
                <w:lang w:val="en-US"/>
              </w:rPr>
            </w:pPr>
          </w:p>
        </w:tc>
      </w:tr>
    </w:tbl>
    <w:p w:rsidR="00F0682A" w:rsidRDefault="00F0682A">
      <w:pPr>
        <w:rPr>
          <w:lang w:val="en-US"/>
        </w:rPr>
      </w:pPr>
    </w:p>
    <w:p w:rsidR="00F0682A" w:rsidRDefault="00F0682A">
      <w:pPr>
        <w:rPr>
          <w:lang w:val="en-US"/>
        </w:rPr>
      </w:pPr>
    </w:p>
    <w:p w:rsidR="00F0682A" w:rsidRDefault="00F0682A">
      <w:pPr>
        <w:rPr>
          <w:lang w:val="en-US"/>
        </w:rPr>
      </w:pPr>
    </w:p>
    <w:p w:rsidR="00F0682A" w:rsidRDefault="00F0682A">
      <w:pPr>
        <w:rPr>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6D2617">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FC6F6A">
                  <w:r>
                    <w:t xml:space="preserve">Peter </w:t>
                  </w:r>
                  <w:proofErr w:type="spellStart"/>
                  <w:r>
                    <w:t>Gilleece</w:t>
                  </w:r>
                  <w:proofErr w:type="spellEnd"/>
                </w:p>
              </w:txbxContent>
            </v:textbox>
          </v:shape>
        </w:pict>
      </w:r>
    </w:p>
    <w:p w:rsidR="002A0043" w:rsidRDefault="002A0043">
      <w:pPr>
        <w:rPr>
          <w:lang w:val="en-US"/>
        </w:rPr>
      </w:pPr>
      <w:r>
        <w:rPr>
          <w:b/>
          <w:bCs/>
          <w:lang w:val="en-US"/>
        </w:rPr>
        <w:t xml:space="preserve">     </w:t>
      </w:r>
      <w:r>
        <w:rPr>
          <w:lang w:val="en-US"/>
        </w:rPr>
        <w:t>Signed</w:t>
      </w:r>
    </w:p>
    <w:p w:rsidR="002A0043" w:rsidRPr="00F0682A" w:rsidRDefault="002A0043">
      <w:pPr>
        <w:rPr>
          <w:b/>
          <w:lang w:val="en-US"/>
        </w:rPr>
      </w:pPr>
    </w:p>
    <w:p w:rsidR="002A0043" w:rsidRDefault="006D2617">
      <w:pPr>
        <w:rPr>
          <w:lang w:val="en-US"/>
        </w:rPr>
      </w:pPr>
      <w:r>
        <w:rPr>
          <w:noProof/>
          <w:sz w:val="20"/>
          <w:lang w:val="en-US"/>
        </w:rPr>
        <w:pict>
          <v:shape id="_x0000_s1041" type="#_x0000_t202" style="position:absolute;margin-left:63pt;margin-top:7.2pt;width:189pt;height:22.2pt;z-index:251664896">
            <v:textbox>
              <w:txbxContent>
                <w:p w:rsidR="002A0043" w:rsidRDefault="00F758AB">
                  <w:r>
                    <w:t>28</w:t>
                  </w:r>
                  <w:r w:rsidR="00FC6F6A">
                    <w:t xml:space="preserve"> </w:t>
                  </w:r>
                  <w:r>
                    <w:t>January 2019</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92" w:rsidRDefault="00140992">
      <w:r>
        <w:separator/>
      </w:r>
    </w:p>
  </w:endnote>
  <w:endnote w:type="continuationSeparator" w:id="0">
    <w:p w:rsidR="00140992" w:rsidRDefault="0014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2617">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92" w:rsidRDefault="00140992">
      <w:r>
        <w:separator/>
      </w:r>
    </w:p>
  </w:footnote>
  <w:footnote w:type="continuationSeparator" w:id="0">
    <w:p w:rsidR="00140992" w:rsidRDefault="00140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1168E7">
      <w:t xml:space="preserve"> </w:t>
    </w:r>
    <w:r w:rsidR="004E2996">
      <w:t>06</w:t>
    </w:r>
    <w:r w:rsidR="001168E7">
      <w:t>/1</w:t>
    </w:r>
    <w:r w:rsidR="004E2996">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42BF3"/>
    <w:multiLevelType w:val="hybridMultilevel"/>
    <w:tmpl w:val="D7B6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1553"/>
    <w:rsid w:val="00095D85"/>
    <w:rsid w:val="001168E7"/>
    <w:rsid w:val="00140992"/>
    <w:rsid w:val="001D5516"/>
    <w:rsid w:val="00224572"/>
    <w:rsid w:val="00230AF1"/>
    <w:rsid w:val="002310CC"/>
    <w:rsid w:val="002A0043"/>
    <w:rsid w:val="002C271A"/>
    <w:rsid w:val="002F2F5A"/>
    <w:rsid w:val="003961F6"/>
    <w:rsid w:val="00406AEF"/>
    <w:rsid w:val="0041610E"/>
    <w:rsid w:val="00437615"/>
    <w:rsid w:val="004D3E60"/>
    <w:rsid w:val="004E2996"/>
    <w:rsid w:val="005319B5"/>
    <w:rsid w:val="005826F7"/>
    <w:rsid w:val="00605113"/>
    <w:rsid w:val="006B68E7"/>
    <w:rsid w:val="006C50DC"/>
    <w:rsid w:val="006C5EE5"/>
    <w:rsid w:val="006D2617"/>
    <w:rsid w:val="006D75C8"/>
    <w:rsid w:val="006E5263"/>
    <w:rsid w:val="00755A7F"/>
    <w:rsid w:val="009220B2"/>
    <w:rsid w:val="00926DAF"/>
    <w:rsid w:val="009710E4"/>
    <w:rsid w:val="00A44D0A"/>
    <w:rsid w:val="00A919EF"/>
    <w:rsid w:val="00B33E49"/>
    <w:rsid w:val="00B40F60"/>
    <w:rsid w:val="00B557A7"/>
    <w:rsid w:val="00B71AF0"/>
    <w:rsid w:val="00BA49BC"/>
    <w:rsid w:val="00BB22F5"/>
    <w:rsid w:val="00D01A9B"/>
    <w:rsid w:val="00E66910"/>
    <w:rsid w:val="00EB49E6"/>
    <w:rsid w:val="00F0682A"/>
    <w:rsid w:val="00F758AB"/>
    <w:rsid w:val="00FC6F6A"/>
    <w:rsid w:val="00FD5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EF2352E3-FA82-47DE-84C2-C8D9126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BalloonText">
    <w:name w:val="Balloon Text"/>
    <w:basedOn w:val="Normal"/>
    <w:link w:val="BalloonTextChar"/>
    <w:rsid w:val="001168E7"/>
    <w:rPr>
      <w:rFonts w:ascii="Segoe UI" w:hAnsi="Segoe UI" w:cs="Segoe UI"/>
      <w:sz w:val="18"/>
      <w:szCs w:val="18"/>
    </w:rPr>
  </w:style>
  <w:style w:type="character" w:customStyle="1" w:styleId="BalloonTextChar">
    <w:name w:val="Balloon Text Char"/>
    <w:basedOn w:val="DefaultParagraphFont"/>
    <w:link w:val="BalloonText"/>
    <w:rsid w:val="001168E7"/>
    <w:rPr>
      <w:rFonts w:ascii="Segoe UI" w:hAnsi="Segoe UI" w:cs="Segoe UI"/>
      <w:sz w:val="18"/>
      <w:szCs w:val="18"/>
      <w:lang w:eastAsia="en-US"/>
    </w:rPr>
  </w:style>
  <w:style w:type="table" w:styleId="TableGrid">
    <w:name w:val="Table Grid"/>
    <w:basedOn w:val="TableNormal"/>
    <w:uiPriority w:val="39"/>
    <w:rsid w:val="006D75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D75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421</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Paul McKinney</cp:lastModifiedBy>
  <cp:revision>15</cp:revision>
  <cp:lastPrinted>2018-11-19T16:02:00Z</cp:lastPrinted>
  <dcterms:created xsi:type="dcterms:W3CDTF">2019-01-23T12:43:00Z</dcterms:created>
  <dcterms:modified xsi:type="dcterms:W3CDTF">2019-01-23T13:11:00Z</dcterms:modified>
</cp:coreProperties>
</file>